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A4" w:rsidRDefault="00CE4BA7">
      <w:pPr>
        <w:pStyle w:val="Style1"/>
        <w:widowControl/>
        <w:rPr>
          <w:rStyle w:val="FontStyle72"/>
        </w:rPr>
      </w:pPr>
      <w:r>
        <w:rPr>
          <w:rStyle w:val="FontStyle72"/>
        </w:rPr>
        <w:t xml:space="preserve">Федеральное государственное образовательное бюджетное учреждение </w:t>
      </w:r>
    </w:p>
    <w:p w:rsidR="00ED6AA4" w:rsidRDefault="00CE4BA7">
      <w:pPr>
        <w:pStyle w:val="Style1"/>
        <w:widowControl/>
        <w:rPr>
          <w:rStyle w:val="FontStyle72"/>
        </w:rPr>
      </w:pPr>
      <w:r>
        <w:rPr>
          <w:rStyle w:val="FontStyle72"/>
        </w:rPr>
        <w:t>высшего образования</w:t>
      </w:r>
    </w:p>
    <w:p w:rsidR="00ED6AA4" w:rsidRDefault="00CE4BA7">
      <w:pPr>
        <w:pStyle w:val="Style1"/>
        <w:widowControl/>
        <w:spacing w:before="67"/>
        <w:ind w:left="686"/>
        <w:rPr>
          <w:rStyle w:val="FontStyle72"/>
          <w:sz w:val="28"/>
          <w:szCs w:val="28"/>
        </w:rPr>
      </w:pPr>
      <w:r>
        <w:rPr>
          <w:rStyle w:val="FontStyle72"/>
          <w:sz w:val="28"/>
          <w:szCs w:val="28"/>
        </w:rPr>
        <w:t xml:space="preserve"> «ФИНАНСОВЫЙ УНИВЕРСИТЕТ ПРИ ПРАВИТЕЛЬСТВЕ РОССИЙСКОЙ ФЕДЕРАЦИИ» </w:t>
      </w:r>
    </w:p>
    <w:p w:rsidR="00ED6AA4" w:rsidRDefault="00CE4BA7">
      <w:pPr>
        <w:pStyle w:val="Style1"/>
        <w:widowControl/>
        <w:spacing w:before="67"/>
        <w:ind w:left="686"/>
      </w:pPr>
      <w:r>
        <w:rPr>
          <w:rStyle w:val="FontStyle72"/>
          <w:sz w:val="28"/>
          <w:szCs w:val="28"/>
        </w:rPr>
        <w:t>(Финансовый университет)</w:t>
      </w:r>
    </w:p>
    <w:p w:rsidR="00ED6AA4" w:rsidRDefault="00CE4BA7">
      <w:pPr>
        <w:pStyle w:val="Style8"/>
        <w:widowControl/>
        <w:spacing w:before="101"/>
        <w:jc w:val="center"/>
      </w:pPr>
      <w:r>
        <w:rPr>
          <w:rStyle w:val="FontStyle72"/>
          <w:sz w:val="28"/>
          <w:szCs w:val="28"/>
        </w:rPr>
        <w:t>Кафедра банковского дела и монетарного регулирования</w:t>
      </w:r>
    </w:p>
    <w:p w:rsidR="00ED6AA4" w:rsidRDefault="00CE4BA7">
      <w:pPr>
        <w:pStyle w:val="Style8"/>
        <w:widowControl/>
        <w:spacing w:before="101"/>
        <w:jc w:val="center"/>
      </w:pPr>
      <w:r>
        <w:rPr>
          <w:rStyle w:val="FontStyle72"/>
          <w:sz w:val="28"/>
          <w:szCs w:val="28"/>
        </w:rPr>
        <w:t>Финансового факультета</w:t>
      </w:r>
    </w:p>
    <w:p w:rsidR="00ED6AA4" w:rsidRDefault="00ED6AA4">
      <w:pPr>
        <w:jc w:val="right"/>
        <w:rPr>
          <w:rFonts w:eastAsia="Times New Roman"/>
          <w:sz w:val="28"/>
          <w:szCs w:val="28"/>
        </w:rPr>
      </w:pPr>
    </w:p>
    <w:tbl>
      <w:tblPr>
        <w:tblW w:w="903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836"/>
        <w:gridCol w:w="4194"/>
      </w:tblGrid>
      <w:tr w:rsidR="00ED6AA4">
        <w:trPr>
          <w:trHeight w:val="3189"/>
        </w:trPr>
        <w:tc>
          <w:tcPr>
            <w:tcW w:w="4835" w:type="dxa"/>
          </w:tcPr>
          <w:p w:rsidR="00ED6AA4" w:rsidRDefault="00CE4BA7">
            <w:pPr>
              <w:rPr>
                <w:rFonts w:eastAsia="Times New Roman"/>
                <w:cap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</w:t>
            </w:r>
          </w:p>
          <w:p w:rsidR="00ED6AA4" w:rsidRDefault="00ED6AA4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</w:tc>
        <w:tc>
          <w:tcPr>
            <w:tcW w:w="4194" w:type="dxa"/>
          </w:tcPr>
          <w:p w:rsidR="00ED6AA4" w:rsidRDefault="00CE4BA7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  <w:r>
              <w:rPr>
                <w:rFonts w:eastAsia="Times New Roman"/>
                <w:caps/>
                <w:sz w:val="28"/>
                <w:szCs w:val="28"/>
              </w:rPr>
              <w:t>утверждаю</w:t>
            </w:r>
          </w:p>
          <w:p w:rsidR="00ED6AA4" w:rsidRDefault="00ED6AA4">
            <w:pPr>
              <w:spacing w:line="276" w:lineRule="auto"/>
              <w:jc w:val="both"/>
              <w:rPr>
                <w:rFonts w:eastAsia="Times New Roman"/>
                <w:caps/>
                <w:sz w:val="28"/>
                <w:szCs w:val="28"/>
              </w:rPr>
            </w:pPr>
          </w:p>
          <w:p w:rsidR="00ED6AA4" w:rsidRDefault="00CE4BA7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Проректор по учебной и методической работе</w:t>
            </w:r>
          </w:p>
          <w:p w:rsidR="00ED6AA4" w:rsidRDefault="00ED6AA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ED6AA4" w:rsidRDefault="00CE4BA7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 Е.А. Каменева</w:t>
            </w:r>
          </w:p>
          <w:p w:rsidR="00ED6AA4" w:rsidRDefault="00ED6AA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</w:rPr>
            </w:pPr>
          </w:p>
          <w:p w:rsidR="00ED6AA4" w:rsidRDefault="00C4349D" w:rsidP="00C4349D">
            <w:pPr>
              <w:spacing w:line="276" w:lineRule="auto"/>
              <w:jc w:val="both"/>
              <w:rPr>
                <w:rFonts w:eastAsia="Times New Roman"/>
                <w:b/>
                <w:cap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«25» декабря </w:t>
            </w:r>
            <w:r w:rsidR="00CE4BA7">
              <w:rPr>
                <w:rFonts w:eastAsia="Times New Roman"/>
                <w:sz w:val="28"/>
                <w:szCs w:val="28"/>
              </w:rPr>
              <w:t>2024 г.</w:t>
            </w:r>
          </w:p>
        </w:tc>
      </w:tr>
    </w:tbl>
    <w:p w:rsidR="00ED6AA4" w:rsidRDefault="00ED6AA4">
      <w:pPr>
        <w:jc w:val="center"/>
        <w:rPr>
          <w:rFonts w:eastAsia="Times New Roman"/>
          <w:sz w:val="36"/>
          <w:szCs w:val="36"/>
        </w:rPr>
      </w:pPr>
    </w:p>
    <w:p w:rsidR="00ED6AA4" w:rsidRDefault="00CE4BA7">
      <w:pPr>
        <w:jc w:val="center"/>
        <w:rPr>
          <w:b/>
          <w:bCs/>
        </w:rPr>
      </w:pPr>
      <w:r>
        <w:rPr>
          <w:rFonts w:eastAsia="Times New Roman"/>
          <w:b/>
          <w:bCs/>
          <w:sz w:val="36"/>
          <w:szCs w:val="36"/>
        </w:rPr>
        <w:t>Соколинская Н.Э., Чичуленков Д.А.</w:t>
      </w:r>
    </w:p>
    <w:p w:rsidR="00ED6AA4" w:rsidRDefault="00ED6AA4">
      <w:pPr>
        <w:tabs>
          <w:tab w:val="left" w:pos="780"/>
          <w:tab w:val="center" w:pos="4535"/>
        </w:tabs>
        <w:jc w:val="center"/>
        <w:rPr>
          <w:rFonts w:eastAsia="Times New Roman"/>
          <w:b/>
          <w:bCs/>
          <w:sz w:val="36"/>
          <w:szCs w:val="36"/>
        </w:rPr>
      </w:pPr>
    </w:p>
    <w:p w:rsidR="00ED6AA4" w:rsidRDefault="00CE4BA7">
      <w:pPr>
        <w:tabs>
          <w:tab w:val="left" w:pos="780"/>
          <w:tab w:val="center" w:pos="4535"/>
        </w:tabs>
        <w:jc w:val="center"/>
        <w:rPr>
          <w:b/>
          <w:bCs/>
        </w:rPr>
      </w:pPr>
      <w:r>
        <w:rPr>
          <w:rFonts w:eastAsia="Times New Roman"/>
          <w:b/>
          <w:bCs/>
          <w:sz w:val="36"/>
          <w:szCs w:val="36"/>
        </w:rPr>
        <w:t>Анализ финансового состояния коммерческого банка</w:t>
      </w:r>
    </w:p>
    <w:p w:rsidR="00ED6AA4" w:rsidRDefault="00ED6AA4">
      <w:pPr>
        <w:jc w:val="center"/>
        <w:rPr>
          <w:rFonts w:eastAsia="Times New Roman"/>
          <w:sz w:val="20"/>
          <w:szCs w:val="20"/>
        </w:rPr>
      </w:pPr>
    </w:p>
    <w:p w:rsidR="00ED6AA4" w:rsidRDefault="00ED6AA4">
      <w:pPr>
        <w:jc w:val="center"/>
        <w:rPr>
          <w:rFonts w:eastAsia="Times New Roman"/>
          <w:sz w:val="20"/>
          <w:szCs w:val="20"/>
        </w:rPr>
      </w:pPr>
    </w:p>
    <w:p w:rsidR="00ED6AA4" w:rsidRDefault="00CE4BA7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Рабочая программа дисциплины</w:t>
      </w:r>
    </w:p>
    <w:p w:rsidR="00ED6AA4" w:rsidRDefault="00ED6AA4">
      <w:pPr>
        <w:jc w:val="center"/>
        <w:rPr>
          <w:rFonts w:eastAsia="Times New Roman"/>
          <w:b/>
          <w:sz w:val="28"/>
          <w:szCs w:val="28"/>
        </w:rPr>
      </w:pPr>
    </w:p>
    <w:p w:rsidR="00ED6AA4" w:rsidRDefault="00CE4BA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:rsidR="00ED6AA4" w:rsidRDefault="00CE4BA7">
      <w:pPr>
        <w:spacing w:line="276" w:lineRule="auto"/>
        <w:jc w:val="center"/>
        <w:rPr>
          <w:rFonts w:eastAsia="Times New Roman"/>
        </w:rPr>
      </w:pPr>
      <w:r>
        <w:rPr>
          <w:rFonts w:eastAsia="Times New Roman"/>
          <w:sz w:val="28"/>
          <w:szCs w:val="28"/>
        </w:rPr>
        <w:t>38.03.01 – Экономика</w:t>
      </w:r>
    </w:p>
    <w:p w:rsidR="00ED6AA4" w:rsidRDefault="00CE4BA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 «Экономика и финансы» </w:t>
      </w:r>
    </w:p>
    <w:p w:rsidR="00ED6AA4" w:rsidRDefault="00CE4BA7">
      <w:pPr>
        <w:spacing w:line="276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Профиль «Банки и финтех»</w:t>
      </w:r>
    </w:p>
    <w:p w:rsidR="00ED6AA4" w:rsidRDefault="00ED6AA4">
      <w:pPr>
        <w:spacing w:line="276" w:lineRule="auto"/>
        <w:jc w:val="center"/>
        <w:rPr>
          <w:rFonts w:eastAsia="Times New Roman"/>
          <w:i/>
        </w:rPr>
      </w:pPr>
    </w:p>
    <w:p w:rsidR="00ED6AA4" w:rsidRDefault="00CE4BA7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>Рекомендовано Ученым советом финансового факультета</w:t>
      </w:r>
    </w:p>
    <w:p w:rsidR="00ED6AA4" w:rsidRDefault="00CE4BA7">
      <w:pPr>
        <w:spacing w:line="276" w:lineRule="auto"/>
        <w:jc w:val="center"/>
        <w:rPr>
          <w:rFonts w:eastAsia="Times New Roman"/>
          <w:iCs/>
        </w:rPr>
      </w:pPr>
      <w:r>
        <w:rPr>
          <w:rFonts w:eastAsia="Times New Roman"/>
          <w:iCs/>
        </w:rPr>
        <w:t>(</w:t>
      </w:r>
      <w:r>
        <w:rPr>
          <w:rFonts w:eastAsia="Times New Roman"/>
          <w:i/>
        </w:rPr>
        <w:t>протокол № 43 от 19 марта 2024 г.</w:t>
      </w:r>
      <w:r>
        <w:rPr>
          <w:rFonts w:eastAsia="Times New Roman"/>
          <w:iCs/>
        </w:rPr>
        <w:t>)</w:t>
      </w:r>
    </w:p>
    <w:p w:rsidR="00ED6AA4" w:rsidRDefault="00ED6AA4">
      <w:pPr>
        <w:spacing w:line="276" w:lineRule="auto"/>
        <w:jc w:val="center"/>
        <w:rPr>
          <w:rFonts w:eastAsia="Times New Roman"/>
          <w:i/>
        </w:rPr>
      </w:pPr>
    </w:p>
    <w:p w:rsidR="00ED6AA4" w:rsidRDefault="00CE4BA7">
      <w:pPr>
        <w:spacing w:line="276" w:lineRule="auto"/>
        <w:jc w:val="center"/>
      </w:pPr>
      <w:r>
        <w:rPr>
          <w:rFonts w:eastAsia="Times New Roman"/>
          <w:i/>
        </w:rPr>
        <w:t>Одобрено Кафедрой банковского дела и монетарного регулирования</w:t>
      </w:r>
    </w:p>
    <w:p w:rsidR="00ED6AA4" w:rsidRDefault="00CE4BA7">
      <w:pPr>
        <w:spacing w:line="276" w:lineRule="auto"/>
        <w:jc w:val="center"/>
        <w:rPr>
          <w:rFonts w:eastAsia="Times New Roman"/>
          <w:i/>
        </w:rPr>
      </w:pPr>
      <w:r>
        <w:rPr>
          <w:rFonts w:eastAsia="Times New Roman"/>
          <w:i/>
        </w:rPr>
        <w:t xml:space="preserve"> (протокол № 1 от 28 февраля 2024 г.)</w:t>
      </w:r>
    </w:p>
    <w:p w:rsidR="00ED6AA4" w:rsidRDefault="00ED6AA4">
      <w:pPr>
        <w:jc w:val="center"/>
        <w:rPr>
          <w:rFonts w:eastAsia="Times New Roman"/>
          <w:sz w:val="28"/>
          <w:szCs w:val="28"/>
        </w:rPr>
      </w:pPr>
    </w:p>
    <w:p w:rsidR="00ED6AA4" w:rsidRDefault="00ED6AA4">
      <w:pPr>
        <w:jc w:val="center"/>
        <w:rPr>
          <w:rFonts w:eastAsia="Times New Roman"/>
          <w:sz w:val="28"/>
          <w:szCs w:val="28"/>
        </w:rPr>
      </w:pPr>
    </w:p>
    <w:p w:rsidR="00ED6AA4" w:rsidRDefault="00CE4BA7">
      <w:pPr>
        <w:jc w:val="center"/>
        <w:rPr>
          <w:b/>
          <w:bCs/>
        </w:rPr>
      </w:pPr>
      <w:r>
        <w:rPr>
          <w:rFonts w:eastAsia="Times New Roman"/>
          <w:b/>
          <w:bCs/>
          <w:sz w:val="28"/>
          <w:szCs w:val="28"/>
        </w:rPr>
        <w:t>Москва – 2024 год</w:t>
      </w:r>
    </w:p>
    <w:p w:rsidR="00ED6AA4" w:rsidRDefault="00ED6AA4">
      <w:pPr>
        <w:jc w:val="both"/>
        <w:rPr>
          <w:color w:val="FF0000"/>
          <w:sz w:val="28"/>
          <w:szCs w:val="28"/>
        </w:rPr>
      </w:pPr>
    </w:p>
    <w:p w:rsidR="00ED6AA4" w:rsidRDefault="00ED6AA4">
      <w:pPr>
        <w:sectPr w:rsidR="00ED6AA4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20"/>
          <w:formProt w:val="0"/>
          <w:docGrid w:linePitch="360"/>
        </w:sectPr>
      </w:pPr>
    </w:p>
    <w:sdt>
      <w:sdtPr>
        <w:rPr>
          <w:rFonts w:eastAsiaTheme="minorEastAsia"/>
        </w:rPr>
        <w:id w:val="-65182341"/>
        <w:docPartObj>
          <w:docPartGallery w:val="Table of Contents"/>
          <w:docPartUnique/>
        </w:docPartObj>
      </w:sdtPr>
      <w:sdtEndPr/>
      <w:sdtContent>
        <w:p w:rsidR="00ED6AA4" w:rsidRDefault="00CE4BA7">
          <w:pPr>
            <w:pStyle w:val="Style41"/>
            <w:jc w:val="center"/>
            <w:rPr>
              <w:rStyle w:val="FontStyle73"/>
            </w:rPr>
          </w:pPr>
          <w:r>
            <w:rPr>
              <w:rStyle w:val="FontStyle73"/>
            </w:rPr>
            <w:t>СОДЕРЖАНИЕ</w:t>
          </w:r>
        </w:p>
        <w:p w:rsidR="00C4349D" w:rsidRPr="00C4349D" w:rsidRDefault="00CE4BA7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r w:rsidRPr="00C4349D">
            <w:rPr>
              <w:bCs w:val="0"/>
              <w:color w:val="auto"/>
            </w:rPr>
            <w:fldChar w:fldCharType="begin"/>
          </w:r>
          <w:r w:rsidRPr="00C4349D">
            <w:rPr>
              <w:webHidden/>
              <w:color w:val="auto"/>
              <w:sz w:val="28"/>
              <w:szCs w:val="28"/>
            </w:rPr>
            <w:instrText>TOC \z \o "1-3" \u \h</w:instrText>
          </w:r>
          <w:r w:rsidRPr="00C4349D">
            <w:rPr>
              <w:bCs w:val="0"/>
              <w:color w:val="auto"/>
              <w:sz w:val="28"/>
              <w:szCs w:val="28"/>
            </w:rPr>
            <w:fldChar w:fldCharType="separate"/>
          </w:r>
          <w:hyperlink w:anchor="_Toc164688764" w:history="1">
            <w:r w:rsidR="00C4349D" w:rsidRPr="00C4349D">
              <w:rPr>
                <w:rStyle w:val="aff4"/>
                <w:noProof/>
                <w:color w:val="auto"/>
              </w:rPr>
              <w:t>1. Наименование дисциплины</w:t>
            </w:r>
            <w:r w:rsidR="00C4349D" w:rsidRPr="00C4349D">
              <w:rPr>
                <w:noProof/>
                <w:webHidden/>
                <w:color w:val="auto"/>
              </w:rPr>
              <w:tab/>
            </w:r>
            <w:r w:rsidR="00C4349D" w:rsidRPr="00C4349D">
              <w:rPr>
                <w:noProof/>
                <w:webHidden/>
                <w:color w:val="auto"/>
              </w:rPr>
              <w:fldChar w:fldCharType="begin"/>
            </w:r>
            <w:r w:rsidR="00C4349D" w:rsidRPr="00C4349D">
              <w:rPr>
                <w:noProof/>
                <w:webHidden/>
                <w:color w:val="auto"/>
              </w:rPr>
              <w:instrText xml:space="preserve"> PAGEREF _Toc164688764 \h </w:instrText>
            </w:r>
            <w:r w:rsidR="00C4349D" w:rsidRPr="00C4349D">
              <w:rPr>
                <w:noProof/>
                <w:webHidden/>
                <w:color w:val="auto"/>
              </w:rPr>
            </w:r>
            <w:r w:rsidR="00C4349D" w:rsidRPr="00C4349D">
              <w:rPr>
                <w:noProof/>
                <w:webHidden/>
                <w:color w:val="auto"/>
              </w:rPr>
              <w:fldChar w:fldCharType="separate"/>
            </w:r>
            <w:r w:rsidR="00C4349D" w:rsidRPr="00C4349D">
              <w:rPr>
                <w:noProof/>
                <w:webHidden/>
                <w:color w:val="auto"/>
              </w:rPr>
              <w:t>3</w:t>
            </w:r>
            <w:r w:rsidR="00C4349D"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65" w:history="1">
            <w:r w:rsidRPr="00C4349D">
              <w:rPr>
                <w:rStyle w:val="aff4"/>
                <w:noProof/>
                <w:color w:val="auto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_Toc164688765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3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66" w:history="1">
            <w:r w:rsidRPr="00C4349D">
              <w:rPr>
                <w:rStyle w:val="aff4"/>
                <w:noProof/>
                <w:color w:val="auto"/>
              </w:rPr>
              <w:t>3. Место дисциплины в структуре образовательной программы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_Toc164688766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5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67" w:history="1">
            <w:r w:rsidRPr="00C4349D">
              <w:rPr>
                <w:rStyle w:val="aff4"/>
                <w:noProof/>
                <w:color w:val="auto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_Toc164688767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5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68" w:history="1">
            <w:r w:rsidRPr="00C4349D">
              <w:rPr>
                <w:rStyle w:val="aff4"/>
                <w:noProof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_Toc164688768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6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25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769" w:history="1">
            <w:r w:rsidRPr="00C4349D">
              <w:rPr>
                <w:rStyle w:val="aff4"/>
                <w:noProof/>
                <w:color w:val="auto"/>
              </w:rPr>
              <w:t>5.1. Содержание дисциплины</w:t>
            </w:r>
            <w:r w:rsidRPr="00C4349D">
              <w:rPr>
                <w:noProof/>
                <w:webHidden/>
              </w:rPr>
              <w:tab/>
            </w:r>
            <w:r w:rsidRPr="00C4349D">
              <w:rPr>
                <w:noProof/>
                <w:webHidden/>
              </w:rPr>
              <w:fldChar w:fldCharType="begin"/>
            </w:r>
            <w:r w:rsidRPr="00C4349D">
              <w:rPr>
                <w:noProof/>
                <w:webHidden/>
              </w:rPr>
              <w:instrText xml:space="preserve"> PAGEREF _Toc164688769 \h </w:instrText>
            </w:r>
            <w:r w:rsidRPr="00C4349D">
              <w:rPr>
                <w:noProof/>
                <w:webHidden/>
              </w:rPr>
            </w:r>
            <w:r w:rsidRPr="00C4349D">
              <w:rPr>
                <w:noProof/>
                <w:webHidden/>
              </w:rPr>
              <w:fldChar w:fldCharType="separate"/>
            </w:r>
            <w:r w:rsidRPr="00C4349D">
              <w:rPr>
                <w:noProof/>
                <w:webHidden/>
              </w:rPr>
              <w:t>6</w:t>
            </w:r>
            <w:r w:rsidRPr="00C4349D">
              <w:rPr>
                <w:noProof/>
                <w:webHidden/>
              </w:rPr>
              <w:fldChar w:fldCharType="end"/>
            </w:r>
          </w:hyperlink>
        </w:p>
        <w:p w:rsidR="00C4349D" w:rsidRPr="00C4349D" w:rsidRDefault="00C4349D">
          <w:pPr>
            <w:pStyle w:val="25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770" w:history="1">
            <w:r w:rsidRPr="00C4349D">
              <w:rPr>
                <w:rStyle w:val="aff4"/>
                <w:noProof/>
                <w:color w:val="auto"/>
              </w:rPr>
              <w:t>5.2. Учебно-тематический план</w:t>
            </w:r>
            <w:r w:rsidRPr="00C4349D">
              <w:rPr>
                <w:noProof/>
                <w:webHidden/>
              </w:rPr>
              <w:tab/>
            </w:r>
            <w:r w:rsidRPr="00C4349D">
              <w:rPr>
                <w:noProof/>
                <w:webHidden/>
              </w:rPr>
              <w:fldChar w:fldCharType="begin"/>
            </w:r>
            <w:r w:rsidRPr="00C4349D">
              <w:rPr>
                <w:noProof/>
                <w:webHidden/>
              </w:rPr>
              <w:instrText xml:space="preserve"> PAGEREF _Toc164688770 \h </w:instrText>
            </w:r>
            <w:r w:rsidRPr="00C4349D">
              <w:rPr>
                <w:noProof/>
                <w:webHidden/>
              </w:rPr>
            </w:r>
            <w:r w:rsidRPr="00C4349D">
              <w:rPr>
                <w:noProof/>
                <w:webHidden/>
              </w:rPr>
              <w:fldChar w:fldCharType="separate"/>
            </w:r>
            <w:r w:rsidRPr="00C4349D">
              <w:rPr>
                <w:noProof/>
                <w:webHidden/>
              </w:rPr>
              <w:t>11</w:t>
            </w:r>
            <w:r w:rsidRPr="00C4349D">
              <w:rPr>
                <w:noProof/>
                <w:webHidden/>
              </w:rPr>
              <w:fldChar w:fldCharType="end"/>
            </w:r>
          </w:hyperlink>
        </w:p>
        <w:p w:rsidR="00C4349D" w:rsidRPr="00C4349D" w:rsidRDefault="00C4349D">
          <w:pPr>
            <w:pStyle w:val="25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771" w:history="1">
            <w:r w:rsidRPr="00C4349D">
              <w:rPr>
                <w:rStyle w:val="aff4"/>
                <w:noProof/>
                <w:color w:val="auto"/>
              </w:rPr>
              <w:t>5.3. Содержание семинаров, практических занятий</w:t>
            </w:r>
            <w:r w:rsidRPr="00C4349D">
              <w:rPr>
                <w:noProof/>
                <w:webHidden/>
              </w:rPr>
              <w:tab/>
            </w:r>
            <w:r w:rsidRPr="00C4349D">
              <w:rPr>
                <w:noProof/>
                <w:webHidden/>
              </w:rPr>
              <w:fldChar w:fldCharType="begin"/>
            </w:r>
            <w:r w:rsidRPr="00C4349D">
              <w:rPr>
                <w:noProof/>
                <w:webHidden/>
              </w:rPr>
              <w:instrText xml:space="preserve"> PAGEREF _Toc164688771 \h </w:instrText>
            </w:r>
            <w:r w:rsidRPr="00C4349D">
              <w:rPr>
                <w:noProof/>
                <w:webHidden/>
              </w:rPr>
            </w:r>
            <w:r w:rsidRPr="00C4349D">
              <w:rPr>
                <w:noProof/>
                <w:webHidden/>
              </w:rPr>
              <w:fldChar w:fldCharType="separate"/>
            </w:r>
            <w:r w:rsidRPr="00C4349D">
              <w:rPr>
                <w:noProof/>
                <w:webHidden/>
              </w:rPr>
              <w:t>12</w:t>
            </w:r>
            <w:r w:rsidRPr="00C4349D">
              <w:rPr>
                <w:noProof/>
                <w:webHidden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2" w:history="1">
            <w:r w:rsidRPr="00C4349D">
              <w:rPr>
                <w:rStyle w:val="aff4"/>
                <w:noProof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_Toc164688772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15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25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773" w:history="1">
            <w:r w:rsidRPr="00C4349D">
              <w:rPr>
                <w:rStyle w:val="aff4"/>
                <w:noProof/>
                <w:color w:val="auto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Pr="00C4349D">
              <w:rPr>
                <w:noProof/>
                <w:webHidden/>
              </w:rPr>
              <w:tab/>
            </w:r>
            <w:r w:rsidRPr="00C4349D">
              <w:rPr>
                <w:noProof/>
                <w:webHidden/>
              </w:rPr>
              <w:fldChar w:fldCharType="begin"/>
            </w:r>
            <w:r w:rsidRPr="00C4349D">
              <w:rPr>
                <w:noProof/>
                <w:webHidden/>
              </w:rPr>
              <w:instrText xml:space="preserve"> PAGEREF _Toc164688773 \h </w:instrText>
            </w:r>
            <w:r w:rsidRPr="00C4349D">
              <w:rPr>
                <w:noProof/>
                <w:webHidden/>
              </w:rPr>
            </w:r>
            <w:r w:rsidRPr="00C4349D">
              <w:rPr>
                <w:noProof/>
                <w:webHidden/>
              </w:rPr>
              <w:fldChar w:fldCharType="separate"/>
            </w:r>
            <w:r w:rsidRPr="00C4349D">
              <w:rPr>
                <w:noProof/>
                <w:webHidden/>
              </w:rPr>
              <w:t>15</w:t>
            </w:r>
            <w:r w:rsidRPr="00C4349D">
              <w:rPr>
                <w:noProof/>
                <w:webHidden/>
              </w:rPr>
              <w:fldChar w:fldCharType="end"/>
            </w:r>
          </w:hyperlink>
        </w:p>
        <w:p w:rsidR="00C4349D" w:rsidRPr="00C4349D" w:rsidRDefault="00C4349D">
          <w:pPr>
            <w:pStyle w:val="25"/>
            <w:tabs>
              <w:tab w:val="right" w:leader="dot" w:pos="9345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64688774" w:history="1">
            <w:r w:rsidRPr="00C4349D">
              <w:rPr>
                <w:rStyle w:val="aff4"/>
                <w:noProof/>
                <w:color w:val="auto"/>
              </w:rPr>
              <w:t>6.2. Перечень вопросов, заданий, тем для подготовки к текущему контролю</w:t>
            </w:r>
            <w:r w:rsidRPr="00C4349D">
              <w:rPr>
                <w:noProof/>
                <w:webHidden/>
              </w:rPr>
              <w:tab/>
            </w:r>
            <w:r w:rsidRPr="00C4349D">
              <w:rPr>
                <w:noProof/>
                <w:webHidden/>
              </w:rPr>
              <w:fldChar w:fldCharType="begin"/>
            </w:r>
            <w:r w:rsidRPr="00C4349D">
              <w:rPr>
                <w:noProof/>
                <w:webHidden/>
              </w:rPr>
              <w:instrText xml:space="preserve"> PAGEREF _Toc164688774 \h </w:instrText>
            </w:r>
            <w:r w:rsidRPr="00C4349D">
              <w:rPr>
                <w:noProof/>
                <w:webHidden/>
              </w:rPr>
            </w:r>
            <w:r w:rsidRPr="00C4349D">
              <w:rPr>
                <w:noProof/>
                <w:webHidden/>
              </w:rPr>
              <w:fldChar w:fldCharType="separate"/>
            </w:r>
            <w:r w:rsidRPr="00C4349D">
              <w:rPr>
                <w:noProof/>
                <w:webHidden/>
              </w:rPr>
              <w:t>18</w:t>
            </w:r>
            <w:r w:rsidRPr="00C4349D">
              <w:rPr>
                <w:noProof/>
                <w:webHidden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5" w:history="1">
            <w:r w:rsidRPr="00C4349D">
              <w:rPr>
                <w:rStyle w:val="aff4"/>
                <w:noProof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_Toc164688775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21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6" w:history="1">
            <w:r w:rsidRPr="00C4349D">
              <w:rPr>
                <w:rStyle w:val="aff4"/>
                <w:noProof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_Toc164688776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39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7" w:history="1">
            <w:r w:rsidRPr="00C4349D">
              <w:rPr>
                <w:rStyle w:val="aff4"/>
                <w:noProof/>
                <w:color w:val="auto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_Toc164688777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42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8" w:history="1">
            <w:r w:rsidRPr="00C4349D">
              <w:rPr>
                <w:rStyle w:val="aff4"/>
                <w:noProof/>
                <w:color w:val="auto"/>
              </w:rPr>
              <w:t>10. Методические указания для обучающихся по освоению дисциплины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_Toc164688778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42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79" w:history="1">
            <w:r w:rsidRPr="00C4349D">
              <w:rPr>
                <w:rStyle w:val="aff4"/>
                <w:noProof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_Toc164688779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43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80" w:history="1">
            <w:r w:rsidRPr="00C4349D">
              <w:rPr>
                <w:rStyle w:val="aff4"/>
                <w:noProof/>
                <w:color w:val="auto"/>
              </w:rPr>
              <w:t>11. 1. Комплект лицензионного программного обеспечения: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_Toc164688780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43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81" w:history="1">
            <w:r w:rsidRPr="00C4349D">
              <w:rPr>
                <w:rStyle w:val="aff4"/>
                <w:noProof/>
                <w:color w:val="auto"/>
              </w:rPr>
              <w:t>11.2. Современные профессиональные базы данных и информационные справочные системы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_Toc164688781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43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C4349D" w:rsidRPr="00C4349D" w:rsidRDefault="00C4349D">
          <w:pPr>
            <w:pStyle w:val="12"/>
            <w:rPr>
              <w:rFonts w:asciiTheme="minorHAnsi" w:eastAsiaTheme="minorEastAsia" w:hAnsiTheme="minorHAnsi" w:cstheme="minorBidi"/>
              <w:bCs w:val="0"/>
              <w:noProof/>
              <w:color w:val="auto"/>
              <w:kern w:val="0"/>
              <w:sz w:val="22"/>
              <w:szCs w:val="22"/>
            </w:rPr>
          </w:pPr>
          <w:hyperlink w:anchor="_Toc164688782" w:history="1">
            <w:r w:rsidRPr="00C4349D">
              <w:rPr>
                <w:rStyle w:val="aff4"/>
                <w:noProof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Pr="00C4349D">
              <w:rPr>
                <w:noProof/>
                <w:webHidden/>
                <w:color w:val="auto"/>
              </w:rPr>
              <w:tab/>
            </w:r>
            <w:r w:rsidRPr="00C4349D">
              <w:rPr>
                <w:noProof/>
                <w:webHidden/>
                <w:color w:val="auto"/>
              </w:rPr>
              <w:fldChar w:fldCharType="begin"/>
            </w:r>
            <w:r w:rsidRPr="00C4349D">
              <w:rPr>
                <w:noProof/>
                <w:webHidden/>
                <w:color w:val="auto"/>
              </w:rPr>
              <w:instrText xml:space="preserve"> PAGEREF _Toc164688782 \h </w:instrText>
            </w:r>
            <w:r w:rsidRPr="00C4349D">
              <w:rPr>
                <w:noProof/>
                <w:webHidden/>
                <w:color w:val="auto"/>
              </w:rPr>
            </w:r>
            <w:r w:rsidRPr="00C4349D">
              <w:rPr>
                <w:noProof/>
                <w:webHidden/>
                <w:color w:val="auto"/>
              </w:rPr>
              <w:fldChar w:fldCharType="separate"/>
            </w:r>
            <w:r w:rsidRPr="00C4349D">
              <w:rPr>
                <w:noProof/>
                <w:webHidden/>
                <w:color w:val="auto"/>
              </w:rPr>
              <w:t>43</w:t>
            </w:r>
            <w:r w:rsidRPr="00C4349D">
              <w:rPr>
                <w:noProof/>
                <w:webHidden/>
                <w:color w:val="auto"/>
              </w:rPr>
              <w:fldChar w:fldCharType="end"/>
            </w:r>
          </w:hyperlink>
        </w:p>
        <w:p w:rsidR="00ED6AA4" w:rsidRDefault="00CE4BA7">
          <w:pPr>
            <w:rPr>
              <w:bCs/>
              <w:sz w:val="28"/>
              <w:szCs w:val="28"/>
            </w:rPr>
          </w:pPr>
          <w:r w:rsidRPr="00C4349D">
            <w:rPr>
              <w:bCs/>
              <w:sz w:val="28"/>
              <w:szCs w:val="28"/>
            </w:rPr>
            <w:fldChar w:fldCharType="end"/>
          </w:r>
        </w:p>
      </w:sdtContent>
    </w:sdt>
    <w:p w:rsidR="00ED6AA4" w:rsidRDefault="00CE4BA7">
      <w:pPr>
        <w:pStyle w:val="Style41"/>
        <w:sectPr w:rsidR="00ED6AA4">
          <w:headerReference w:type="default" r:id="rId10"/>
          <w:footerReference w:type="default" r:id="rId11"/>
          <w:pgSz w:w="11906" w:h="16838"/>
          <w:pgMar w:top="765" w:right="850" w:bottom="1134" w:left="1701" w:header="708" w:footer="708" w:gutter="0"/>
          <w:cols w:space="720"/>
          <w:formProt w:val="0"/>
          <w:docGrid w:linePitch="360"/>
        </w:sectPr>
      </w:pPr>
      <w:r>
        <w:tab/>
      </w:r>
    </w:p>
    <w:p w:rsidR="00ED6AA4" w:rsidRDefault="00ED6AA4">
      <w:pPr>
        <w:pStyle w:val="Style41"/>
      </w:pPr>
    </w:p>
    <w:p w:rsidR="00ED6AA4" w:rsidRDefault="00CE4BA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64688764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0"/>
    </w:p>
    <w:p w:rsidR="00ED6AA4" w:rsidRDefault="00CE4BA7">
      <w:pPr>
        <w:keepNext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«Анализ финансового состояния коммерческого банка»</w:t>
      </w:r>
    </w:p>
    <w:p w:rsidR="00ED6AA4" w:rsidRDefault="00ED6AA4">
      <w:pPr>
        <w:keepNext/>
        <w:spacing w:line="360" w:lineRule="auto"/>
        <w:ind w:firstLine="709"/>
        <w:jc w:val="both"/>
        <w:rPr>
          <w:bCs/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4688765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ED6AA4" w:rsidRDefault="00CE4BA7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>
        <w:rPr>
          <w:sz w:val="28"/>
          <w:szCs w:val="28"/>
        </w:rPr>
        <w:t>Таблица 1</w:t>
      </w:r>
    </w:p>
    <w:tbl>
      <w:tblPr>
        <w:tblW w:w="98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2441"/>
        <w:gridCol w:w="2663"/>
        <w:gridCol w:w="3373"/>
      </w:tblGrid>
      <w:tr w:rsidR="00ED6AA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D6AA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2. Производит расчет финансово-экономических показателей на макро-, мезо- и микроуровнях.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3. Анализирует и раскрывает природу экономических процессов на основе полученных </w:t>
            </w:r>
            <w:r>
              <w:lastRenderedPageBreak/>
              <w:t xml:space="preserve">финансово-экономических показателей на макро-, мезо- и микроуровнях 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lastRenderedPageBreak/>
              <w:t>1.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содержание нормативно-правовых актов Банка России, где раскрыты методики расчета основных финансовых коэффициентов и нормативов деятельности банков;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интерпретировать результаты вычисления показателей деятельности банка;</w:t>
            </w: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2.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-набор основных показателей (коэффициентов), характеризующих состояние отдельных банков, кластеров банков и банковского сектора в целом, а также порядок их вычисления;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</w:t>
            </w:r>
            <w:r>
              <w:tab/>
              <w:t>использовать собирать первичные данные и выполнять расчет значений финансовых показателей, характеризующих состояние отдельных банков, кластеров банков и банковского сектора в целом, а также порядок их вычисления.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i/>
                <w:iCs/>
              </w:rPr>
              <w:t>знать</w:t>
            </w:r>
            <w:r>
              <w:t xml:space="preserve">: - подходы к интерпретации значений финансовых показателей о состоянии банков (кластеров </w:t>
            </w:r>
            <w:r>
              <w:lastRenderedPageBreak/>
              <w:t>банков, банковского сектора) и к оценке их взаимосвязи;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уметь: - давать комплексную характеристику о финансовом состоянии банка (группы банков или всего банковского сектора в целом) по результатам выполненных вычислений.</w:t>
            </w:r>
          </w:p>
        </w:tc>
      </w:tr>
      <w:tr w:rsidR="00ED6AA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ПКП-2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1.</w:t>
            </w:r>
            <w:r>
              <w:tab/>
              <w:t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2.</w:t>
            </w:r>
            <w:r>
              <w:tab/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1.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основные направления и методы анализа и оценки финансового состояния коммерческого банка;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правильно пользоваться приложениями для работы с данными (импорт данных, проверки корректности, построение сводных таблиц и т.п.);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2.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теоретические основы применения современных цифровых технологий для проведения оценки финансовой устойчивости банков, их достоинства и недостатки;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- источники больших данных о финансовом и рыночном положении банка (analizbankov.ru, cbr.ru);</w:t>
            </w:r>
          </w:p>
          <w:p w:rsidR="00ED6AA4" w:rsidRDefault="00CE4BA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анализировать данные о финансовом состоянии банка для определения перспектив его развития;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- представлять результаты оценки финансового состояния банков с применением современных приложений для анализа данных.</w:t>
            </w:r>
          </w:p>
        </w:tc>
      </w:tr>
      <w:tr w:rsidR="00ED6AA4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>ПКП-1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 xml:space="preserve">Способность проводить анализ состояния и структуры современного финансового рынка в условиях </w:t>
            </w:r>
            <w:r>
              <w:lastRenderedPageBreak/>
              <w:t xml:space="preserve">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   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lastRenderedPageBreak/>
              <w:t>1. Владеет современным инструментарием анализа финансового рынка и деятельности отдельных коммерческих банков.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lastRenderedPageBreak/>
              <w:t>1.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сходства и различия российских и зарубежных методик оценки финансового состояния коммерческих банков;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- находить и обобщать </w:t>
            </w:r>
            <w:r>
              <w:lastRenderedPageBreak/>
              <w:t>информацию, необходимую для проведения анализа и оценки финансового состояния коммерческого банка;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2.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особенности российских и зарубежных моделей оценки финансовой устойчивости банков, применяемых органами банковского надзора,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проводить комплексный анализ и интерпретацию финансовой, бухгалтерской и иной информации для оценки перспектив деятельности банка.</w:t>
            </w:r>
          </w:p>
          <w:p w:rsidR="00ED6AA4" w:rsidRDefault="00ED6AA4">
            <w:pPr>
              <w:jc w:val="both"/>
            </w:pPr>
          </w:p>
        </w:tc>
      </w:tr>
    </w:tbl>
    <w:p w:rsidR="00ED6AA4" w:rsidRDefault="00ED6AA4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ED6AA4" w:rsidRDefault="00ED6AA4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ED6AA4" w:rsidRDefault="00CE4BA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64688766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«Анализ финансового состояния коммерческого банка» является дисциплиной по выбору цикла профиля (элективный) направления подготовки 38.03.01 «Экономика». 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64688767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ED6AA4" w:rsidRDefault="00CE4BA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ED6AA4" w:rsidRDefault="00ED6AA4">
      <w:pPr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04"/>
        <w:gridCol w:w="1954"/>
        <w:gridCol w:w="2887"/>
      </w:tblGrid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D6AA4" w:rsidRDefault="00CE4BA7">
            <w:pPr>
              <w:pStyle w:val="af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ED6AA4" w:rsidRDefault="00CE4BA7">
            <w:pPr>
              <w:pStyle w:val="afc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/ 108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ED6AA4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pStyle w:val="afc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ED6AA4" w:rsidRDefault="00ED6AA4">
      <w:pPr>
        <w:jc w:val="both"/>
        <w:rPr>
          <w:b/>
          <w:bCs/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6468876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ED6AA4" w:rsidRDefault="00CE4BA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6468876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5"/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Основы анализа финансового состояния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понятия «финансовое состояние банка». Его соотнесение с понятиями «финансовая устойчивость», «финансовая стабильность», «экономическое положение» банка.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Внутренние и внешние, финансовые и нефинансовые факторы, влияющие на финансовое состояние коммерческого банка.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Субъекты, задачи и принципы анализа финансового состояния коммерческого банка.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Нормативно-правовая и методическая база проведения анализа финансового состояния банка со стороны: </w:t>
      </w:r>
    </w:p>
    <w:p w:rsidR="00ED6AA4" w:rsidRDefault="00CE4BA7">
      <w:pPr>
        <w:pStyle w:val="Style23"/>
        <w:widowControl/>
        <w:numPr>
          <w:ilvl w:val="0"/>
          <w:numId w:val="9"/>
        </w:numPr>
        <w:suppressAutoHyphens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органов государственной власти (например, требования к минимальному уровню кредитного рейтинга банка для принятия банковских гарантий или открытию расчетного счета), </w:t>
      </w:r>
    </w:p>
    <w:p w:rsidR="00ED6AA4" w:rsidRDefault="00CE4BA7">
      <w:pPr>
        <w:pStyle w:val="Style23"/>
        <w:widowControl/>
        <w:numPr>
          <w:ilvl w:val="0"/>
          <w:numId w:val="9"/>
        </w:numPr>
        <w:suppressAutoHyphens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 стороны органа банковского надзора (Банка России), </w:t>
      </w:r>
    </w:p>
    <w:p w:rsidR="00ED6AA4" w:rsidRDefault="00CE4BA7">
      <w:pPr>
        <w:pStyle w:val="Style23"/>
        <w:widowControl/>
        <w:numPr>
          <w:ilvl w:val="0"/>
          <w:numId w:val="9"/>
        </w:numPr>
        <w:suppressAutoHyphens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со стороны кредитных рейтинговых агентств,</w:t>
      </w:r>
    </w:p>
    <w:p w:rsidR="00ED6AA4" w:rsidRDefault="00CE4BA7">
      <w:pPr>
        <w:pStyle w:val="Style23"/>
        <w:widowControl/>
        <w:numPr>
          <w:ilvl w:val="0"/>
          <w:numId w:val="9"/>
        </w:numPr>
        <w:suppressAutoHyphens w:val="0"/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со стороны институциональных инвесторов и других банков.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база финансового анализа. Внешние и внутренние источники информации. Финансовая и нефинансовая информация. Достоинства и недостатки финансовой отчетности по РСБУ и по МСФО и управленческой отчетности. Содержание основных форм финансовой отчетности и пояснительной записки и их использование в анализе финансового состояния банка. Источники данных для оценки устойчивости отдельных банков и групп банков (Банк России</w:t>
      </w:r>
      <w:r>
        <w:rPr>
          <w:rStyle w:val="a9"/>
          <w:sz w:val="28"/>
          <w:szCs w:val="28"/>
        </w:rPr>
        <w:footnoteReference w:id="1"/>
      </w:r>
      <w:r>
        <w:rPr>
          <w:sz w:val="28"/>
          <w:szCs w:val="28"/>
        </w:rPr>
        <w:t>, портал банковского аналитика</w:t>
      </w:r>
      <w:r>
        <w:rPr>
          <w:rStyle w:val="a9"/>
          <w:sz w:val="28"/>
          <w:szCs w:val="28"/>
        </w:rPr>
        <w:footnoteReference w:id="2"/>
      </w:r>
      <w:r>
        <w:rPr>
          <w:sz w:val="28"/>
          <w:szCs w:val="28"/>
        </w:rPr>
        <w:t xml:space="preserve">). </w:t>
      </w:r>
      <w:bookmarkStart w:id="6" w:name="_Hlk158203827"/>
      <w:bookmarkEnd w:id="6"/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и показатели оценки финансового состояния коммерческого банка.  Основные элементы (компоненты) оценки финансового состояния коммерческого банка. </w:t>
      </w:r>
    </w:p>
    <w:p w:rsidR="00ED6AA4" w:rsidRDefault="00ED6AA4">
      <w:pPr>
        <w:spacing w:line="360" w:lineRule="auto"/>
        <w:jc w:val="both"/>
        <w:rPr>
          <w:b/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Оценка нефинансовых факторов деятельности банка.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рыночного позиционирования банка. Критерии рыночной позиции банка, ее оценка. 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Бизнес-модель банка: понятие, разновидности и риски. Географическая и функциональная диверсификация направлений бизнеса. 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Организационная структура банка, ее адаптивность к внешним угрозам. Качество системы управления.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банка. Виды стратегий. Оценка степени достижимости заявленных целей в стратегии развития. 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собственности и деловая репутация. Деловая репутация собственников и руководителей. Наличие конфликта собственников и руководителей. Степень связанности операций банка с бизнесом собственников. Степень раскрытия информации о собственниках. Деловая репутация банка. 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Банка России к оценке качественных факторов (Указание Банка России № 4336-У от 03.04.2017 «Об оценке экономического положения банков»): оценка качества управления (4 показателя) и оценка структуры собственности (3 показателя).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Подходы кредитных рейтинговых агентств к оценке нефинансовых факторов кредитоспособности банков.</w:t>
      </w:r>
    </w:p>
    <w:p w:rsidR="00ED6AA4" w:rsidRDefault="00ED6AA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Оценка качества активов банка и его рисков.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задачи оценки и анализа качества активов банка. Критерии качества активов. Сравнительная характеристика качества активов баланса банка. Методы оценки активов коммерческого банка (анализ структуры, темпов прироста, уровня концентрации по разным критериям и т.д.).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направления оценки качества кредитного портфеля банка. Сегменты кредитного портфеля и сопутствующие им риски. Качество кредитного портфеля, агрегированная оценка и индивидуальный риск.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Нормативы, ограничивающие предельный уровень кредитного риска (Инструкция Банка России от 29 ноября 2019 г. N 199-И «Об обязательных нормативах и надбавках к нормативам достаточности капитала банков с универсальной лицензией»).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Банка России к оценке качества активов коммерческого банка (показатели «ПА» из Указания от 03.04.2017 г. № 4336-У «Об оценке экономического положения банков»).</w:t>
      </w: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Подходы кредитных рейтинговых агентств к оценке качества активов банков и уровня принятых рисков.</w:t>
      </w:r>
      <w:r>
        <w:t xml:space="preserve"> 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Оценка собственного капитала банка и его достаточности.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и структура собственного капитала (бухгалтерский и регуляторный собственный капитал) банка: источники формирования, качество элементов капитала. Особенности структуры собственного капитала национального банковского сектора и отдельных банков.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достаточности собственного капитала банка. Факторы, определяющие объем и структуру капитала банка.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расчета величины регуляторного собственного капитала банка (базового, добавочного, основного, дополнительного), согласно Положению Банка России от 4 июля 2018 г. N 646-П «О методике определения собственных средств (капитала) кредитных организаций ("Базель III")». 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Нормативы достаточности капитала банка и надбавки к ним. Стандартный и финализированный подходы к расчету величины риск-взвешенных активов банка (совокупного риска банка) (Инструкция Банка России от 29 ноября 2019 г. N 199-И «Об обязательных нормативах и надбавках к нормативам достаточности капитала банков с универсальной лицензией»).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Показатели эффективности использования капитала банка. Влияние показателя рентабельности капитала на способность банка самостоятельно создавать (генерировать) собственный капитал за счет прибыли.</w:t>
      </w:r>
    </w:p>
    <w:p w:rsidR="00ED6AA4" w:rsidRDefault="00CE4BA7">
      <w:pPr>
        <w:spacing w:line="360" w:lineRule="auto"/>
        <w:rPr>
          <w:sz w:val="28"/>
        </w:rPr>
      </w:pPr>
      <w:r>
        <w:rPr>
          <w:sz w:val="28"/>
          <w:szCs w:val="28"/>
        </w:rPr>
        <w:t>Подход Банка России к оценке качества капитала банка и его достаточности (</w:t>
      </w:r>
      <w:r>
        <w:rPr>
          <w:sz w:val="28"/>
        </w:rPr>
        <w:t xml:space="preserve">Указание </w:t>
      </w:r>
      <w:r>
        <w:rPr>
          <w:sz w:val="28"/>
          <w:szCs w:val="28"/>
        </w:rPr>
        <w:t>Банка России от 03.04.2017 г. № 4336-У «Об оценке экономического положения банков»).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рейтинговых агентств к оценке качества собственного капитала банка.</w:t>
      </w:r>
    </w:p>
    <w:p w:rsidR="00ED6AA4" w:rsidRDefault="00ED6AA4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Оценка рентабельности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и источники доходов банка. Факторы влияния на доходность деятельности банка.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Экономическое содержание показателей доходности и рентабельности деятельности коммерческого банка.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Количественный и качественный анализ доходности деятельности банка. Факторный анализ доходности и затратности операций на основе модели Дюпона. Структурный анализ показателя рентабельности активов (</w:t>
      </w:r>
      <w:r>
        <w:rPr>
          <w:sz w:val="28"/>
          <w:szCs w:val="28"/>
          <w:lang w:val="en-US"/>
        </w:rPr>
        <w:t>ROA</w:t>
      </w:r>
      <w:r>
        <w:rPr>
          <w:sz w:val="28"/>
          <w:szCs w:val="28"/>
        </w:rPr>
        <w:t>).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оценки доходности банка в соответствии с Указанием Банка России от 03.04.2017 г. № 4336-У «Об оценке экономического положения банков».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рейтинговых агентств к оценке доходности и рентабельности деятельности банка.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Оценка привлеченных и заемных ресурсов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и анализ структуры привлеченных и заемных ресурсов банка. Критерии и методы оценки. Критерии оценки ресурсной базы коммерческого банка: влияние ресурсной базы на ликвидность баланса, максимизация прибыли банка, укрепление конкурентной позиции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оценки ресурсной базы банка: ситуационный анализ; </w:t>
      </w:r>
      <w:r>
        <w:rPr>
          <w:sz w:val="28"/>
          <w:szCs w:val="28"/>
        </w:rPr>
        <w:lastRenderedPageBreak/>
        <w:t>структурный анализ; оценка на основе системы финансовых коэффициентов; оценка сбалансированности ресурсов и активов банка; оценка уровня затрат по пассивным операциям банка; оценка ценовой политики на основе экономического обоснования уровня процента по депозитным ресурсам.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стабильности привлеченных и заемных ресурсов банка, степени ее концентрации на отдельных категориях источников по разным критериям.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рейтинговых агентств к оценке привлеченных и заемных средств</w:t>
      </w:r>
      <w:r>
        <w:rPr>
          <w:rStyle w:val="a9"/>
          <w:sz w:val="28"/>
          <w:szCs w:val="28"/>
        </w:rPr>
        <w:footnoteReference w:id="3"/>
      </w:r>
      <w:r>
        <w:rPr>
          <w:sz w:val="28"/>
          <w:szCs w:val="28"/>
        </w:rPr>
        <w:t xml:space="preserve"> банка.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7. Оценка ликвидности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ликвидности банка и ликвидности баланса банка. Факторы, влияющие на состояние ликвидности банка.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Ликвидность коммерческого банка и ее связь с финансовым состоянием. Основные задачи и источники информации для анализа ликвидности. Методы оценки ликвидности коммерческого банка. Коэффициентный метод и метод разрывов (GAP). Матричный анализ ликвидности коммерческого банка. Анализ выполнения нормативов ликвидности. 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оценки процентного риска при разрывах ликвидности. Методы анализа процентного риска: </w:t>
      </w:r>
      <w:r>
        <w:rPr>
          <w:sz w:val="28"/>
          <w:szCs w:val="28"/>
          <w:lang w:val="en-US"/>
        </w:rPr>
        <w:t>GAP</w:t>
      </w:r>
      <w:r>
        <w:rPr>
          <w:sz w:val="28"/>
          <w:szCs w:val="28"/>
        </w:rPr>
        <w:t>-анализ, имитационное моделирование.</w:t>
      </w:r>
    </w:p>
    <w:p w:rsidR="00ED6AA4" w:rsidRDefault="00CE4BA7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Подход Банка России к оценке ликвидности банка (</w:t>
      </w:r>
      <w:r>
        <w:rPr>
          <w:sz w:val="28"/>
        </w:rPr>
        <w:t xml:space="preserve">Указание </w:t>
      </w:r>
      <w:r>
        <w:rPr>
          <w:sz w:val="28"/>
          <w:szCs w:val="28"/>
        </w:rPr>
        <w:t>Банка России от 03.04.2017 г. № 4336-У «Об оценке экономического положения банков»).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рейтинговых агентств к оценке ликвидности банка.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7" w:name="OLE_LINK2"/>
      <w:bookmarkStart w:id="8" w:name="OLE_LINK1"/>
      <w:bookmarkEnd w:id="7"/>
      <w:bookmarkEnd w:id="8"/>
      <w:r>
        <w:rPr>
          <w:b/>
          <w:sz w:val="28"/>
          <w:szCs w:val="28"/>
        </w:rPr>
        <w:t>Тема 8. Комплексные модели оценки финансового состояния банка.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</w:rPr>
      </w:pPr>
      <w:bookmarkStart w:id="9" w:name="OLE_LINK21"/>
      <w:bookmarkStart w:id="10" w:name="OLE_LINK11"/>
      <w:bookmarkEnd w:id="9"/>
      <w:bookmarkEnd w:id="10"/>
      <w:r>
        <w:rPr>
          <w:sz w:val="28"/>
          <w:szCs w:val="28"/>
        </w:rPr>
        <w:t>Основные виды комплексных моделей оценки финансового состояния и кредитоспособности банка. Понятия: устойчивость, надежность, равновесие, стабильность деятельности кредитной организации.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Подходы Банка России, в соответствии с Указанием Банка России от 03.04.2017 г. № 4336-У «Об оценке экономического положения банков».</w:t>
      </w:r>
    </w:p>
    <w:p w:rsidR="00ED6AA4" w:rsidRDefault="00CE4BA7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используемые российскими кредитными рейтинговыми агентствами. Компоненты анализа количественных и качественных факторов для оценки финансового состояния банка (собственная кредитоспособность), учет влияния факторов системной значимости, возможности внешней поддержки и прочих корректировок для получения кредитного рейтинга банка.</w:t>
      </w:r>
    </w:p>
    <w:p w:rsidR="00ED6AA4" w:rsidRDefault="00ED6AA4">
      <w:pPr>
        <w:pStyle w:val="Style23"/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64688770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1"/>
    </w:p>
    <w:p w:rsidR="00ED6AA4" w:rsidRDefault="00CE4BA7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578"/>
        <w:gridCol w:w="2002"/>
        <w:gridCol w:w="851"/>
        <w:gridCol w:w="850"/>
        <w:gridCol w:w="851"/>
        <w:gridCol w:w="1134"/>
        <w:gridCol w:w="1135"/>
        <w:gridCol w:w="1944"/>
      </w:tblGrid>
      <w:tr w:rsidR="00ED6AA4">
        <w:tc>
          <w:tcPr>
            <w:tcW w:w="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48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tabs>
                <w:tab w:val="right" w:pos="85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Трудоемкость в часах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ED6AA4"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Контактная работа - Аудиторная работа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</w:tr>
      <w:tr w:rsidR="00ED6AA4">
        <w:tc>
          <w:tcPr>
            <w:tcW w:w="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Лекции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Семинары, практические   занятия</w:t>
            </w: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1. Основы анализа финансового состояния 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Дискуссия, сбор данных по заданию, построение набора банков и выгрузка данных по ним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</w:t>
            </w:r>
            <w:r>
              <w:t xml:space="preserve"> </w:t>
            </w:r>
            <w:r>
              <w:rPr>
                <w:sz w:val="20"/>
                <w:szCs w:val="20"/>
              </w:rPr>
              <w:t>Оценка нефинансовых факторов деятельности 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Дискуссия;</w:t>
            </w:r>
          </w:p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примере российских банков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3. Оценка качества активов банка и его рисков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Дискуссия, сбор данных по заданию, решение задач по анализу качества активов банков 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 Оценка собственного капитала банка и его достаточности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данных по заданию с помощью открытых источников данных, решение задач по анализу структуры и достаточности капитала банков</w:t>
            </w:r>
          </w:p>
        </w:tc>
      </w:tr>
      <w:tr w:rsidR="00ED6AA4">
        <w:trPr>
          <w:trHeight w:val="1108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5. Оценка рентабельности 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Дискуссия, сбор данных по заданию, решение ситуационных задач по анализу рентабельности российских банков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6. Оценка привлеченных и заемных ресурсов </w:t>
            </w:r>
            <w:r>
              <w:rPr>
                <w:sz w:val="20"/>
                <w:szCs w:val="20"/>
              </w:rPr>
              <w:lastRenderedPageBreak/>
              <w:t>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Дискуссия, сбор данных по заданию, решение задач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bookmarkStart w:id="12" w:name="_Hlk158203506"/>
            <w:r>
              <w:rPr>
                <w:sz w:val="20"/>
                <w:szCs w:val="20"/>
              </w:rPr>
              <w:t>Тема 7. Оценка ликвидности банка</w:t>
            </w:r>
            <w:bookmarkEnd w:id="12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Дискуссия, сбор данных по заданию, решение ситуационных задач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8. Комплексные модели оценки финансового состояния банка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Дискуссия, сравнительный анализ надзорной модели Банка России (Указание 4336-У) и методики одного из рейтинговых агентств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целом по дисциплине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учебному плану: контрольная работа</w:t>
            </w:r>
          </w:p>
        </w:tc>
      </w:tr>
      <w:tr w:rsidR="00ED6AA4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ED6AA4">
            <w:pPr>
              <w:tabs>
                <w:tab w:val="right" w:pos="851"/>
              </w:tabs>
              <w:rPr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tabs>
                <w:tab w:val="righ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CE4BA7">
            <w:pPr>
              <w:tabs>
                <w:tab w:val="right" w:pos="85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70%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AA4" w:rsidRDefault="00ED6AA4">
            <w:pPr>
              <w:rPr>
                <w:sz w:val="20"/>
                <w:szCs w:val="20"/>
              </w:rPr>
            </w:pPr>
          </w:p>
        </w:tc>
      </w:tr>
    </w:tbl>
    <w:p w:rsidR="00ED6AA4" w:rsidRDefault="00CE4BA7">
      <w:pPr>
        <w:pStyle w:val="afc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D6AA4" w:rsidRDefault="00ED6AA4">
      <w:pPr>
        <w:pStyle w:val="af4"/>
        <w:jc w:val="both"/>
        <w:rPr>
          <w:b w:val="0"/>
          <w:szCs w:val="28"/>
        </w:rPr>
      </w:pPr>
    </w:p>
    <w:p w:rsidR="00ED6AA4" w:rsidRDefault="00CE4BA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4688771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D6AA4" w:rsidRDefault="00CE4BA7">
      <w:pPr>
        <w:keepNext/>
        <w:ind w:firstLine="709"/>
        <w:jc w:val="right"/>
        <w:rPr>
          <w:b/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1886"/>
        <w:gridCol w:w="4775"/>
        <w:gridCol w:w="2909"/>
      </w:tblGrid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ED6AA4" w:rsidRDefault="00ED6AA4">
            <w:pPr>
              <w:keepNext/>
              <w:jc w:val="both"/>
              <w:rPr>
                <w:b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1. Основы анализа финансового состояния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финансового состояния банка.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Внешние и внутренние факторы финансовой устойчивости.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Базовые подходы и основные направления анализа финансового состояния банка.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анализа структуры баланса банка в российской и зарубежной практике.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Инструментарий баз данных Банка России (cbr.ru) и портала банковского аналитика (analizbankov.ru) для сбора и обработки информации об отдельном банке или наборе банков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Цифровые источники структурированных данных для анализа финансовой устойчивости коммерческого банка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и архитектура данных о кредитных организациях на сайте Банка России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разделы и возможности портала банковского аналитика (analizbankov.ru)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Тактика выбор сопоставимых банков для сравнительного анализа с использованием </w:t>
            </w:r>
            <w:r>
              <w:rPr>
                <w:sz w:val="22"/>
                <w:szCs w:val="22"/>
              </w:rPr>
              <w:lastRenderedPageBreak/>
              <w:t>analizbankov.ru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Группы банков на analizbankov.ru: построение, особенности индикаторов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4"/>
              </w:numPr>
              <w:tabs>
                <w:tab w:val="left" w:pos="395"/>
              </w:tabs>
              <w:spacing w:after="60"/>
              <w:ind w:left="-45" w:firstLine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Встроенные и пользовательские рейтинги банков на analizbankov.ru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5, 6, 8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2, 3, 5, 6, 7, 8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портала банковского аналитика и его возможностей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структуры данных о кредитных организациях на сайте Банка России, выполнение выгрузки данных разными способами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других источников данных для анализа финансового состояния банка, примеры получения данных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>Тема 2.</w:t>
            </w:r>
            <w:r>
              <w:t xml:space="preserve"> </w:t>
            </w:r>
            <w:r>
              <w:rPr>
                <w:sz w:val="20"/>
                <w:szCs w:val="20"/>
              </w:rPr>
              <w:t>Оценка нефинансовых факторов деятельности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Подходы к оценке рыночных позиций банка.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Диверсификация и оценка направлений деловой активности банка.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Способы оценки качества управления (компетентность команды управленцев, система управления рисками и др.).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Стратегия банка и ее оценки в контексте анализа уровня устойчивости банка и перспектив его деятельности.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структуры собственности банка.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цифровых источников для оценки деловой репутации и уровня акционерных рисков.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5"/>
              </w:numPr>
              <w:tabs>
                <w:tab w:val="left" w:pos="524"/>
              </w:tabs>
              <w:ind w:left="99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Подходы Банка России к оценке нефинансовых факторов (Указание 4336-У).</w:t>
            </w:r>
          </w:p>
          <w:p w:rsidR="00ED6AA4" w:rsidRDefault="00ED6AA4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нормативно-правовые акты: </w:t>
            </w:r>
            <w:r>
              <w:rPr>
                <w:i/>
                <w:sz w:val="22"/>
                <w:szCs w:val="22"/>
                <w:lang w:val="en-US"/>
              </w:rPr>
              <w:t>6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рекомендуемая литература: </w:t>
            </w:r>
            <w:r>
              <w:rPr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3. Оценка качества активов банка и его рисков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Динамика структуры активов российских коммерческих банков в современных условиях.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Методы оценки качества активов банка.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 xml:space="preserve"> Оценка качества активов по методике Банка России (Указание № 4336-У).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Использование цифровых инструментов для анализа качества активов банка или группы банков.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Подходы рейтинговых агентств к оценке качества активов банков.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Способы оценки уровня принятых банком рисков в контексте изучения уровня его финансовой устойчивости (рыночные риски, операционный риск, система управления рисками).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4, 6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2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количественных данных о качестве активов банка с использованием портала банковского аналитика и других источников.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набора банков для проведения сравнительного анализа качества активов с использованием портала банковского аналитика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Копирование или импорт данных в табличный редактор и / или приложение для бизнес-аналитики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4. Оценка собственного капитала банка и его достаточности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Понятие собственного капитала банка и его структуры. Бухгалтерский и регуляторный капитал.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 xml:space="preserve">Методы и цель расчета базового, добавочного, основного и дополнительного капитала, собственных средств (капитала) банка </w:t>
            </w:r>
            <w:r>
              <w:rPr>
                <w:sz w:val="22"/>
                <w:szCs w:val="22"/>
              </w:rPr>
              <w:lastRenderedPageBreak/>
              <w:t>(Положение 646-П).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  <w:t>Оценка структуры собственного капитала российских банков в современных условиях.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  <w:t>Методика Банка России по оценке достаточности собственного капитала. Стандартный и финализированный подходы к расчету величины риск-взвешенных активов (Инструкция 199-И).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  <w:t>Надбавки к нормативу достаточности собственного капитала.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ab/>
              <w:t>Методика Банка России и по оценке качества капитала банка (Указание №4336-У).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Подходы рейтинговых агентств к оценке качества собственного капитала банков.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tabs>
                <w:tab w:val="left" w:pos="3852"/>
              </w:tabs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1, 4, 6, 7, 9, 10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3, 4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Сбор количественных данных о качестве капитала банка с использованием </w:t>
            </w:r>
            <w:r>
              <w:rPr>
                <w:sz w:val="22"/>
                <w:szCs w:val="22"/>
              </w:rPr>
              <w:lastRenderedPageBreak/>
              <w:t>портала банковского аналитика и других источников.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набора банков для проведения сравнительного анализа качества собственного капитала и его достаточности с использованием портала банковского аналитика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Копирование или импорт данных в табличный редактор и / или приложение для бизнес-аналитики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5. Оценка рентабельности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Коэффициентный метод оценки уровня доходности и прибыльности банка.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Структурный анализ уровня прибыльности банка.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Подходы Банка России (Указание 4336-У) и рейтинговых агентств к оценке рентабельности банка.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6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4, 6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количественных данных о структуре доходов и расходов, уровне рентабельности банка с использованием портала банковского аналитика и других источников.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набора банков для проведения сравнительного анализа их рентабельности с использованием портала банковского аналитика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Копирование или импорт данных в табличный редактор и / или приложение для бизнес-аналитики 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6. Оценка привлеченных и заемных ресурсов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>Динамика структуры и динамики привлеченных</w:t>
            </w:r>
            <w:r>
              <w:rPr>
                <w:sz w:val="22"/>
                <w:szCs w:val="20"/>
              </w:rPr>
              <w:t xml:space="preserve"> и заемных</w:t>
            </w:r>
            <w:r>
              <w:rPr>
                <w:sz w:val="22"/>
                <w:szCs w:val="22"/>
              </w:rPr>
              <w:t xml:space="preserve"> ресурсов коммерческих банков.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Оценка уровня концентрации ресурсов (по категории клиентов, на крупнейших кредиторах, по типу источника, др.)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Оценка стабильности ресурсной базы банка.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Оценка стоимости ресурсной базы банка.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Подходы Банка России (Указание 4336-У) и рейтинговых агентств к оценке качества </w:t>
            </w:r>
            <w:r>
              <w:rPr>
                <w:sz w:val="22"/>
                <w:szCs w:val="22"/>
              </w:rPr>
              <w:lastRenderedPageBreak/>
              <w:t>привлеченных и заемных ресурсов банка.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6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2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Дискуссия по вопросам темы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количественных данных о качестве привлеченных и заемных ресурсов банка с использованием портала банковского аналитика и других источников.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Построение набора банков для проведения сравнительного анализа качества привлеченных и </w:t>
            </w:r>
            <w:r>
              <w:rPr>
                <w:sz w:val="22"/>
                <w:szCs w:val="22"/>
              </w:rPr>
              <w:lastRenderedPageBreak/>
              <w:t>заемных ресурсов с использованием портала банковского аналитика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Копирование или импорт данных в табличный редактор и / или приложение для бизнес-аналитики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>Тема 7. Оценка ликвидности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Особенности расчета норматива краткосрочной ликвидности Н26 (Н27) и норматива чистого стабильного фондирования Н28(29) для системно значимых банков (банковских групп)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Методы оценки уровня ликвидности банка (коэффициенты, метод матриц и др.).</w:t>
            </w:r>
          </w:p>
          <w:p w:rsidR="00ED6AA4" w:rsidRDefault="00CE4BA7">
            <w:pPr>
              <w:keepNext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Подходы Банка России (Указание 4336-У) и рейтинговых агентств к оценке ликвидности банка.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2, 3, 4, 6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рекомендуемая литература: 1, 4, 6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ситуационных задач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количественных данных об уровне ликвидности банка с использованием портала банковского аналитика и других источников.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Построение набора банков для проведения сравнительного анализа уровня их ликвидности с использованием портала банковского аналитика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Копирование или импорт данных в табличный редактор</w:t>
            </w:r>
          </w:p>
        </w:tc>
      </w:tr>
      <w:tr w:rsidR="00ED6AA4"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8. Комплексные модели оценки финансового состояния банка</w:t>
            </w:r>
          </w:p>
        </w:tc>
        <w:tc>
          <w:tcPr>
            <w:tcW w:w="4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tabs>
                <w:tab w:val="left" w:pos="39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Сравнительная характеристика надзорных методик оценки уровня финансовой устойчивости банков.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Особенности методик российских и зарубежных рейтинговых агентств к оценке уровня кредитоспособности банков.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CE4BA7">
            <w:pPr>
              <w:keepNext/>
              <w:ind w:firstLine="119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Рекомендуемые источники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нормативно-правовые акты: 6, 8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рекомендуемая литература: </w:t>
            </w:r>
            <w:r>
              <w:rPr>
                <w:i/>
                <w:sz w:val="22"/>
                <w:szCs w:val="22"/>
                <w:lang w:val="en-US"/>
              </w:rPr>
              <w:t>1</w:t>
            </w:r>
          </w:p>
          <w:p w:rsidR="00ED6AA4" w:rsidRDefault="00ED6AA4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дебатов по вопросу о возможности применения эконометрических моделей для выявления потенциально слабых банков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контрольных работ по оценке финансовой устойчивости банков.</w:t>
            </w:r>
          </w:p>
          <w:p w:rsidR="00ED6AA4" w:rsidRDefault="00CE4BA7">
            <w:pPr>
              <w:pStyle w:val="afc"/>
              <w:keepNext/>
              <w:numPr>
                <w:ilvl w:val="0"/>
                <w:numId w:val="2"/>
              </w:numPr>
              <w:tabs>
                <w:tab w:val="left" w:pos="412"/>
              </w:tabs>
              <w:ind w:left="0" w:firstLine="16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интерактивных панелей (</w:t>
            </w:r>
            <w:r>
              <w:rPr>
                <w:sz w:val="22"/>
                <w:szCs w:val="22"/>
                <w:lang w:val="en-US"/>
              </w:rPr>
              <w:t>Yandex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DataLens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BI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Desktop</w:t>
            </w:r>
            <w:r>
              <w:rPr>
                <w:sz w:val="22"/>
                <w:szCs w:val="22"/>
              </w:rPr>
              <w:t>) для отображения результатов контрольной работы</w:t>
            </w:r>
          </w:p>
        </w:tc>
      </w:tr>
    </w:tbl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для подготовки к занятиям могут размещаться в электронной образовательной среде </w:t>
      </w:r>
      <w:r>
        <w:rPr>
          <w:sz w:val="28"/>
          <w:szCs w:val="28"/>
          <w:lang w:val="en-US"/>
        </w:rPr>
        <w:t>LMS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Moodle</w:t>
      </w:r>
      <w:r>
        <w:rPr>
          <w:sz w:val="28"/>
          <w:szCs w:val="28"/>
        </w:rPr>
        <w:t>.</w:t>
      </w: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64688772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ED6AA4" w:rsidRDefault="00CE4BA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64688773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ED6AA4" w:rsidRDefault="00CE4BA7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3737"/>
        <w:gridCol w:w="3244"/>
      </w:tblGrid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Наименование тем (разделов) дисциплины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keepNext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1. Основы анализа финансового состояния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Соотношение понятий «финансовое состояние», «финансовая устойчивость» и «кредитоспособность» банка.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 Факторы, влияющие на финансовое состояние банков и оценка их значимости (по материалам современных эконометрических исследований)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Организация работы Банка России по оценке экономического положения поднадзорных банков и банковских групп (нормативная база, задействованные подразделения, источники информации, направления анализа)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Организация деятельности рейтинговых агентств по оценке кредитоспособности банков.</w:t>
            </w:r>
          </w:p>
          <w:p w:rsidR="00ED6AA4" w:rsidRDefault="00ED6AA4">
            <w:pPr>
              <w:keepNext/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rPr>
                <w:sz w:val="22"/>
                <w:szCs w:val="22"/>
              </w:rPr>
            </w:pPr>
          </w:p>
          <w:p w:rsidR="00ED6AA4" w:rsidRDefault="00ED6AA4">
            <w:pPr>
              <w:tabs>
                <w:tab w:val="left" w:pos="1155"/>
              </w:tabs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рекомендованной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современных публикаций по вопросам темы 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рекомендованной литературы;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современных публикаций по вопросам темы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финансовой отчетности банка;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структуры пояснительной записки к финансовой отчетности (по РСБУ и МСФО)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структуры методик кредитных рейтинговых агентств;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дополнительных источников данных о банках (портал арбитражных дел kad.arbitr.ru, центр раскрытия корпоративной информации e-disclosure.ru и др.)</w:t>
            </w:r>
          </w:p>
        </w:tc>
      </w:tr>
      <w:tr w:rsidR="00ED6AA4">
        <w:trPr>
          <w:trHeight w:val="2526"/>
        </w:trPr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2.</w:t>
            </w:r>
            <w:r>
              <w:t xml:space="preserve"> </w:t>
            </w:r>
            <w:r>
              <w:rPr>
                <w:sz w:val="20"/>
                <w:szCs w:val="20"/>
              </w:rPr>
              <w:t>Оценка нефинансовых факторов деятельности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Способы оценки уровня концентрации деловой активности банков на одном или нескольких направлениях (по видам услуг, клиентской группе, регионам присутствия).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Сравнительная характеристика методик агентств АКРА, Эксперт РА, НКР и НРА по оценке нефинансовых факторов.</w:t>
            </w:r>
          </w:p>
          <w:p w:rsidR="00ED6AA4" w:rsidRDefault="00ED6AA4">
            <w:pPr>
              <w:rPr>
                <w:b/>
                <w:sz w:val="28"/>
                <w:szCs w:val="28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нормативных документов;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методик кредитных рейтинговых агентств.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3. Оценка качества активов банка и его рисков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Показатели «ПА» из методики Банка России (Указание 4336-У).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Сравнительная характеристика методик агентств АКРА, Эксперт РА, НКР и НРА по оценке качества активов банка и уровня принятых рисков.</w:t>
            </w:r>
          </w:p>
          <w:p w:rsidR="00ED6AA4" w:rsidRDefault="00ED6AA4">
            <w:pPr>
              <w:keepNext/>
              <w:ind w:firstLine="283"/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методики Банка России по оценке экономического положения банков (Указание 4336-У);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методик кредитных рейтинговых агентств;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данных для выполнения контрольной работы (в части соответствующей темы), их обобщение в табличном редакторе;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 собранных данных для их обработки и визуализации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4. Оценка собственного капитала банка и его достаточности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Показатели «ПК» из методики Банка России (Указание 4336-У).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Сравнительная характеристика методик агентств АКРА, Эксперт РА, НКР и НРА по оценке качества </w:t>
            </w:r>
            <w:r>
              <w:rPr>
                <w:sz w:val="22"/>
                <w:szCs w:val="22"/>
              </w:rPr>
              <w:lastRenderedPageBreak/>
              <w:t>собственного капитала.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ind w:firstLine="283"/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методики Банка России по оценке экономического положения банков (Указание 4336-У);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изучение методик кредитных </w:t>
            </w:r>
            <w:r>
              <w:rPr>
                <w:sz w:val="22"/>
                <w:szCs w:val="22"/>
              </w:rPr>
              <w:lastRenderedPageBreak/>
              <w:t>рейтинговых агентств;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данных для выполнения контрольной работы (в части соответствующей темы), их обобщение в табличном редакторе;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 собранных данных для их обработки и визуализации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>Тема 5. Оценка рентабельности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Показатели «ПД» из методики Банка России (Указание 4336-У).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Сравнительная характеристика методик агентств АКРА, Эксперт РА, НКР и НРА по оценке рентабельности банков.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ind w:firstLine="283"/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методики Банка России по оценке экономического положения банков (Указание 4336-У);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 кредитных рейтинговых агентств;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данных для выполнения контрольной работы (в части соответствующей темы), их обобщение в табличном редакторе;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 собранных данных для их обработки и визуализации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6. Оценка привлеченных и заемных ресурсов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Показатели «ПЛ» из методики Банка России (Указание 4336-У).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Сравнительная характеристика методик агентств АКРА, Эксперт РА, НКР и НРА по оценке качества привлеченных и заемных средств банков.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ind w:firstLine="283"/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методики Банка России по оценке экономического положения банков (Указание 4336-У);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 кредитных рейтинговых агентств;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данных для выполнения контрольной работы (в части соответствующей темы), их обобщение в табличном редакторе;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 собранных данных для их обработки и визуализации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7. Оценка ликвидности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Показатели «ПЛ» из методики Банка России (Указание 4336-У).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Сравнительная характеристика методик агентств АКРА, Эксперт РА, НКР и НРА по оценке качества привлеченных и заемных средств банков.</w:t>
            </w:r>
          </w:p>
          <w:p w:rsidR="00ED6AA4" w:rsidRDefault="00CE4BA7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Стресс-тестирование как метод оценки ликвидности банка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ED6AA4">
            <w:pPr>
              <w:keepNext/>
              <w:ind w:firstLine="283"/>
              <w:rPr>
                <w:sz w:val="22"/>
                <w:szCs w:val="22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литературы;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методики Банка России по оценке экономического положения банков (Указание 4336-У);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изучение методик кредитных рейтинговых агентств;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сбор данных для выполнения контрольной работы (в части соответствующей темы), их обобщение в табличном редакторе;</w:t>
            </w: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 собранных данных для их обработки и визуализации</w:t>
            </w:r>
          </w:p>
        </w:tc>
      </w:tr>
      <w:tr w:rsidR="00ED6AA4"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Тема 8. Комплексные модели оценки финансового состояния банка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Сравнительная характеристика российских и зарубежных методик оценки финансовой устойчивости банков (органов надзор и рейтинговых агентств)</w:t>
            </w:r>
          </w:p>
          <w:p w:rsidR="00ED6AA4" w:rsidRDefault="00ED6AA4">
            <w:pPr>
              <w:rPr>
                <w:sz w:val="22"/>
                <w:szCs w:val="22"/>
              </w:rPr>
            </w:pPr>
          </w:p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Возможности приложений для </w:t>
            </w:r>
            <w:r>
              <w:rPr>
                <w:sz w:val="22"/>
                <w:szCs w:val="22"/>
              </w:rPr>
              <w:lastRenderedPageBreak/>
              <w:t>обработки данных (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Excel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Yandex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DataLens</w:t>
            </w:r>
            <w:r>
              <w:rPr>
                <w:sz w:val="22"/>
                <w:szCs w:val="22"/>
              </w:rPr>
              <w:t>) по решению задач построению сводных таблиц и визуализации данных.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AA4" w:rsidRDefault="00CE4B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разработка и построение интерактивных панелей (</w:t>
            </w:r>
            <w:r>
              <w:rPr>
                <w:sz w:val="22"/>
                <w:szCs w:val="22"/>
                <w:lang w:val="en-US"/>
              </w:rPr>
              <w:t>Yandex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DataLens</w:t>
            </w:r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  <w:lang w:val="en-US"/>
              </w:rPr>
              <w:t>MS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Power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BI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Desktop</w:t>
            </w:r>
            <w:r>
              <w:rPr>
                <w:sz w:val="22"/>
                <w:szCs w:val="22"/>
              </w:rPr>
              <w:t xml:space="preserve">) для представления результатов контрольной работы по оценке финансового состояния выбранного банка, </w:t>
            </w:r>
            <w:r>
              <w:rPr>
                <w:sz w:val="22"/>
                <w:szCs w:val="22"/>
              </w:rPr>
              <w:lastRenderedPageBreak/>
              <w:t>его устойчивости, надежности, равновесности и стабильности.</w:t>
            </w:r>
          </w:p>
        </w:tc>
      </w:tr>
    </w:tbl>
    <w:p w:rsidR="00ED6AA4" w:rsidRDefault="00ED6AA4">
      <w:pPr>
        <w:keepNext/>
        <w:jc w:val="both"/>
        <w:rPr>
          <w:b/>
          <w:sz w:val="28"/>
          <w:szCs w:val="28"/>
        </w:rPr>
      </w:pPr>
    </w:p>
    <w:p w:rsidR="00ED6AA4" w:rsidRDefault="00CE4BA7">
      <w:pPr>
        <w:pStyle w:val="20"/>
        <w:spacing w:before="12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64688774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D6AA4" w:rsidRDefault="00CE4BA7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Примерный перечень вопросов к контрольной работе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Источники финансовой отчетности для анализа финансового состояния российского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Состав финансовой отчетности российского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Основные формы финансовой отчетности для изучения финансового состояния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Иные формы раскрытия сведений о банке (помимо публикуемой финансовой отчетности), полезные для оценки уровня его финансового состояния.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Основные нефинансовые факторы для оценки уровня кредитоспособности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 xml:space="preserve">Компоненты комплексной методики оценки финансовой устойчивости банка. 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Факторы устойчивости, надежности, равновесности и стабильности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Значение рыночных позиций банка и степени диверсификации его бизнеса для оценки уровня финансовой устойчивости.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Способы оценки качества управления и стратегии банка в контексте оценки его финансовой устойчивости.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Структура собственности банка и деловая репутация его собственников и руководителей для оценки кредитоспособности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 xml:space="preserve"> Методы оценки качества активов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Методы оценки качества собственного капитала банка и его достаточности.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Содержание показателя усредненной генерации капитала и порядок его расчета.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Финансовые показатели для анализа уровня кредитного риска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Тактика оценки диверсификации кредитного портфеля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Методы оценки уровня рентабельности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Основные финансовые коэффициенты для анализа доходности и рентабельности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Методы оценки качества ресурсной базы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Тактика оценки диверсификации ресурсной базы банка.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Способы оценки уровня ликвидности банка на основе его финансовой отчетности.</w:t>
      </w:r>
    </w:p>
    <w:p w:rsidR="00ED6AA4" w:rsidRDefault="00CE4BA7">
      <w:pPr>
        <w:pStyle w:val="af4"/>
        <w:numPr>
          <w:ilvl w:val="0"/>
          <w:numId w:val="6"/>
        </w:numPr>
        <w:spacing w:line="360" w:lineRule="auto"/>
        <w:ind w:hanging="502"/>
        <w:jc w:val="both"/>
        <w:rPr>
          <w:b w:val="0"/>
          <w:szCs w:val="28"/>
        </w:rPr>
      </w:pPr>
      <w:r>
        <w:rPr>
          <w:b w:val="0"/>
          <w:szCs w:val="28"/>
        </w:rPr>
        <w:t>Состав нормативов ликвидности банков.</w:t>
      </w:r>
    </w:p>
    <w:p w:rsidR="00ED6AA4" w:rsidRDefault="00CE4BA7">
      <w:pPr>
        <w:pStyle w:val="af4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Перечень примерных практико-ориентированных заданий для контрольной работы.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Проведите анализ рыночных позиций и диверсификации бизнеса выбранного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Оцените качество управления и стратегию по открытым данным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Найдите информацию о структуре собственности банка и деловой репутации российского банка и оцените их влияние на уровень финансовой устойчивости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Соберите необходимые данные и проведите горизонтальный и вертикальный анализ активов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На основании данных российского банка посчитайте и оцените значения показателей качества кредитного портфеля.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степень диверсификации кредитного портфеля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Обобщите данные о структуре капитала российского банка, посчитайте нормативы достаточности капитала.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Посчитайте коэффициент усредненной генерации капитала российского банка и дайте ему оценку.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источники прироста капитала выбранного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Соберите данные о структуре доходов российского банка и оцените степень их диверсификации.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уровень рентабельности выбранного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Оцените степень диверсификации ресурсной базы выбранного российского банка.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Рассчитайте показатели качества привлеченных и заемных средств российского банка и дайте им оценку.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Оцените степень зависимости российского банка от привлечения межбанковских кредитов Банка России.</w:t>
      </w:r>
    </w:p>
    <w:p w:rsidR="00ED6AA4" w:rsidRDefault="00CE4BA7">
      <w:pPr>
        <w:pStyle w:val="af4"/>
        <w:numPr>
          <w:ilvl w:val="0"/>
          <w:numId w:val="7"/>
        </w:num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По итогам проведенных расчетов сделайте комплексный вывод об уровне финансовой устойчивости выбранного российского банка.</w:t>
      </w:r>
    </w:p>
    <w:p w:rsidR="00ED6AA4" w:rsidRDefault="00CE4BA7">
      <w:pPr>
        <w:pStyle w:val="af4"/>
        <w:spacing w:line="36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Проведение дебатов </w:t>
      </w:r>
    </w:p>
    <w:p w:rsidR="00ED6AA4" w:rsidRDefault="00CE4BA7">
      <w:pPr>
        <w:pStyle w:val="af4"/>
        <w:spacing w:line="360" w:lineRule="auto"/>
        <w:ind w:firstLine="709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>Для участия в дебатах студенты группы делятся на 2 команды, примерно равные по численности. В каждой команде выбирается капитан, отвечающий за обобщение собранных членами команды материалов и выдвинутых ими аргументов, а также за общение с преподавателем, ведущим семинарские занятия.</w:t>
      </w:r>
    </w:p>
    <w:p w:rsidR="00ED6AA4" w:rsidRDefault="00CE4BA7">
      <w:pPr>
        <w:pStyle w:val="af4"/>
        <w:spacing w:line="360" w:lineRule="auto"/>
        <w:ind w:firstLine="709"/>
        <w:jc w:val="both"/>
        <w:rPr>
          <w:b w:val="0"/>
          <w:color w:val="000000" w:themeColor="text1"/>
          <w:szCs w:val="28"/>
        </w:rPr>
      </w:pPr>
      <w:r>
        <w:rPr>
          <w:b w:val="0"/>
          <w:color w:val="000000" w:themeColor="text1"/>
          <w:szCs w:val="28"/>
        </w:rPr>
        <w:t xml:space="preserve">Распределение обязанностей в команде остается на усмотрение студентов. Рекомендуется выделить 2-3 человек для поиска материалов. Собранные материалы распределяются для внимательного и критического чтения между всеми участниками команды. Каждый участник команды готовит (независимо друг от друга) аргументы в защиту позиции и контраргументы (вопросы) к точке зрения оппонентов. Затем все обмениваются идеями. Капитан команды обобщает их и готовит проект </w:t>
      </w:r>
      <w:r>
        <w:rPr>
          <w:b w:val="0"/>
          <w:color w:val="000000" w:themeColor="text1"/>
          <w:szCs w:val="28"/>
        </w:rPr>
        <w:lastRenderedPageBreak/>
        <w:t>выступления. Все члены команды выбирают наиболее удачные вопросы для участия в дискуссии.</w:t>
      </w:r>
    </w:p>
    <w:p w:rsidR="00ED6AA4" w:rsidRDefault="00CE4BA7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D6AA4" w:rsidRDefault="00CE4BA7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bookmarkStart w:id="17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7"/>
    </w:p>
    <w:p w:rsidR="00ED6AA4" w:rsidRDefault="00ED6AA4">
      <w:pPr>
        <w:pStyle w:val="af4"/>
        <w:spacing w:line="360" w:lineRule="auto"/>
        <w:jc w:val="both"/>
        <w:rPr>
          <w:b w:val="0"/>
          <w:szCs w:val="28"/>
        </w:rPr>
      </w:pPr>
    </w:p>
    <w:p w:rsidR="00ED6AA4" w:rsidRDefault="00CE4BA7">
      <w:pPr>
        <w:pStyle w:val="1"/>
        <w:spacing w:before="0" w:after="120" w:line="360" w:lineRule="auto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64688775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8"/>
    </w:p>
    <w:p w:rsidR="00ED6AA4" w:rsidRDefault="00CE4BA7">
      <w:pPr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D6AA4" w:rsidRDefault="00CE4BA7">
      <w:pPr>
        <w:spacing w:line="360" w:lineRule="auto"/>
        <w:ind w:firstLine="708"/>
        <w:jc w:val="both"/>
        <w:rPr>
          <w:sz w:val="28"/>
          <w:szCs w:val="20"/>
        </w:rPr>
        <w:sectPr w:rsidR="00ED6AA4">
          <w:headerReference w:type="default" r:id="rId12"/>
          <w:footerReference w:type="default" r:id="rId13"/>
          <w:pgSz w:w="11906" w:h="16838"/>
          <w:pgMar w:top="765" w:right="850" w:bottom="1134" w:left="1701" w:header="708" w:footer="708" w:gutter="0"/>
          <w:cols w:space="720"/>
          <w:formProt w:val="0"/>
          <w:docGrid w:linePitch="360"/>
        </w:sectPr>
      </w:pPr>
      <w:r>
        <w:rPr>
          <w:sz w:val="28"/>
          <w:szCs w:val="20"/>
        </w:rPr>
        <w:t xml:space="preserve">                                                                                                 </w:t>
      </w:r>
    </w:p>
    <w:p w:rsidR="00ED6AA4" w:rsidRDefault="00CE4BA7">
      <w:pPr>
        <w:spacing w:line="360" w:lineRule="exact"/>
        <w:ind w:firstLine="708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Таблица 6</w:t>
      </w:r>
    </w:p>
    <w:tbl>
      <w:tblPr>
        <w:tblStyle w:val="13"/>
        <w:tblW w:w="1508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0"/>
        <w:gridCol w:w="2667"/>
        <w:gridCol w:w="2698"/>
        <w:gridCol w:w="7428"/>
      </w:tblGrid>
      <w:tr w:rsidR="00ED6AA4">
        <w:tc>
          <w:tcPr>
            <w:tcW w:w="2289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667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698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428" w:type="dxa"/>
          </w:tcPr>
          <w:p w:rsidR="00ED6AA4" w:rsidRDefault="00CE4BA7">
            <w:pPr>
              <w:rPr>
                <w:b/>
                <w:bCs/>
              </w:rPr>
            </w:pPr>
            <w:r>
              <w:rPr>
                <w:b/>
                <w:bCs/>
              </w:rPr>
              <w:t>Типовые</w:t>
            </w:r>
            <w:r>
              <w:rPr>
                <w:b/>
                <w:bCs/>
              </w:rPr>
              <w:br/>
              <w:t>контрольные</w:t>
            </w:r>
            <w:r>
              <w:rPr>
                <w:b/>
                <w:bCs/>
              </w:rPr>
              <w:br/>
              <w:t>задания</w:t>
            </w:r>
          </w:p>
        </w:tc>
      </w:tr>
      <w:tr w:rsidR="00ED6AA4">
        <w:tc>
          <w:tcPr>
            <w:tcW w:w="2289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ПКН-2</w:t>
            </w: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667" w:type="dxa"/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</w:pPr>
            <w:r>
              <w:t>2. Производит расчет финансово-экономических показателей на макро-, мезо- и микроуровнях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3. Анализирует и раскрывает природу экономических процессов на основе полученных финансово-экономических показателей на макро-, мезо- и микроуровнях 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  <w:rPr>
                <w:b/>
                <w:bCs/>
              </w:rPr>
            </w:pPr>
          </w:p>
        </w:tc>
        <w:tc>
          <w:tcPr>
            <w:tcW w:w="2698" w:type="dxa"/>
          </w:tcPr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lastRenderedPageBreak/>
              <w:t>1.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содержание нормативно-правовых актов Банка России, где раскрыты методики расчета основных финансовых коэффициентов и нормативов деятельности банков;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интерпретировать результаты вычисления показателей деятельности банка;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2.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-набор основных показателей (коэффициентов), характеризующих состояние отдельных банков, кластеров банков и банковского сектора в </w:t>
            </w:r>
            <w:r>
              <w:lastRenderedPageBreak/>
              <w:t>целом, а также порядок их вычисления;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</w:t>
            </w:r>
            <w:r>
              <w:tab/>
              <w:t>использовать собирать первичные данные и выполнять расчет значений финансовых показателей, характеризующих состояние отдельных банков, кластеров банков и банковского сектора в целом, а также порядок их вычисления.</w:t>
            </w:r>
          </w:p>
          <w:p w:rsidR="00ED6AA4" w:rsidRDefault="00ED6AA4">
            <w:pPr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i/>
                <w:iCs/>
              </w:rPr>
              <w:t>знать</w:t>
            </w:r>
            <w:r>
              <w:t>: - подходы к интерпретации значений финансовых показателей о состоянии банков (кластеров банков, банковского сектора) и к оценке их взаимосвязи;</w:t>
            </w:r>
          </w:p>
          <w:p w:rsidR="00ED6AA4" w:rsidRDefault="00CE4BA7">
            <w:pPr>
              <w:jc w:val="both"/>
            </w:pPr>
            <w:r>
              <w:t xml:space="preserve">уметь: - давать комплексную характеристику о финансовом состоянии банка (группы банков или всего банковского сектора в целом) по результатам </w:t>
            </w:r>
            <w:r>
              <w:lastRenderedPageBreak/>
              <w:t>выполненных вычислений.</w:t>
            </w:r>
          </w:p>
        </w:tc>
        <w:tc>
          <w:tcPr>
            <w:tcW w:w="7428" w:type="dxa"/>
          </w:tcPr>
          <w:p w:rsidR="00ED6AA4" w:rsidRDefault="00CE4BA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ED6AA4" w:rsidRDefault="00CE4BA7">
            <w:pPr>
              <w:contextualSpacing/>
              <w:jc w:val="both"/>
            </w:pPr>
            <w:r>
              <w:t xml:space="preserve">Используя Инструкцию Банка России № 199-И, требуется рассчитать норматив достаточности базового капитала (Н1.1) по данным таблицы 1, а также </w:t>
            </w:r>
            <w:r>
              <w:rPr>
                <w:u w:val="single"/>
              </w:rPr>
              <w:t>определить</w:t>
            </w:r>
            <w:r>
              <w:t xml:space="preserve"> уровень совокупного риска, который может принять при условии соблюдения норматива достаточности базового капитала и надбавок к капиталу. Допустим, что ниже приведены данные по системно значимому банку.</w:t>
            </w:r>
          </w:p>
          <w:p w:rsidR="00ED6AA4" w:rsidRDefault="00ED6AA4">
            <w:pPr>
              <w:contextualSpacing/>
              <w:jc w:val="both"/>
            </w:pPr>
          </w:p>
          <w:p w:rsidR="00ED6AA4" w:rsidRDefault="00CE4BA7">
            <w:pPr>
              <w:contextualSpacing/>
              <w:jc w:val="both"/>
            </w:pPr>
            <w:r>
              <w:t>Таблица 1. Данные для оценки достаточности базового капитала (млн. руб.)</w:t>
            </w: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3403"/>
              <w:gridCol w:w="980"/>
            </w:tblGrid>
            <w:tr w:rsidR="00ED6AA4">
              <w:tc>
                <w:tcPr>
                  <w:tcW w:w="1446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Базовый капитал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143 695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Основной капитал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143 695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Собственный капитал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237 993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Ар11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225 779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Ар12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225 779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Ар10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225 779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20 142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20 142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20 142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9 093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9 093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9 093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907 900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907 900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907 900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Ар51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Ар52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Ар50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lastRenderedPageBreak/>
                    <w:t>Код 8807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Ипотека с достаточным обеспечением</w:t>
                  </w:r>
                  <w:r>
                    <w:rPr>
                      <w:rStyle w:val="a9"/>
                      <w:spacing w:val="-2"/>
                      <w:sz w:val="18"/>
                      <w:szCs w:val="18"/>
                    </w:rPr>
                    <w:footnoteReference w:id="4"/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БК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Активы, предусматривающие применение повышенных требований по покрытию капиталом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6 920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8855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</w:p>
              </w:tc>
              <w:tc>
                <w:tcPr>
                  <w:tcW w:w="3403" w:type="dxa"/>
                  <w:vMerge w:val="restart"/>
                  <w:vAlign w:val="center"/>
                </w:tcPr>
                <w:p w:rsidR="00ED6AA4" w:rsidRDefault="00CE4BA7">
                  <w:pPr>
                    <w:jc w:val="center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Корректировка на суммы, включаемые дважды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36 062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8855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36 062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8855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36 062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ПКр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Потребительские кредиты (без обеспечения)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208 621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</w:p>
              </w:tc>
              <w:tc>
                <w:tcPr>
                  <w:tcW w:w="3403" w:type="dxa"/>
                  <w:vMerge w:val="restart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 xml:space="preserve">Требования к связанным лицам 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52 217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ED6AA4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ED6AA4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3403" w:type="dxa"/>
                  <w:vMerge w:val="restart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Операции с повышенными коэффициентами риска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322 061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322 061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3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322 061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403" w:type="dxa"/>
                  <w:vMerge w:val="restart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кредитного риска по условным обязательствам кредитного характера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76 860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76 860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3403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76 860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КРС (код 8811)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кредитного риска по срочным сделкам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13 158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РСК (код 8866)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риска изменения стоимости кредитного требования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ОР (код 8942)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Операционный риск (с учетом коэффициента 12,5)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11 410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РР (код 8812)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Рыночный риск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170 601</w:t>
                  </w:r>
                </w:p>
              </w:tc>
            </w:tr>
          </w:tbl>
          <w:p w:rsidR="00ED6AA4" w:rsidRDefault="00ED6AA4">
            <w:pPr>
              <w:jc w:val="center"/>
              <w:rPr>
                <w:b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Используя данные официальной финансовой отчетности ПАО Московский кредитный банк (</w:t>
            </w:r>
            <w:hyperlink r:id="rId14">
              <w:r>
                <w:t>http://www.e-disclosure.ru/portal/company.aspx?id=202</w:t>
              </w:r>
            </w:hyperlink>
            <w:r>
              <w:t>), информация о принимаемых рисках, процедурах их оценки, управления рисками и капиталом банка, а также иные релевантные источники информации проведите оценку качества его активов и кредитного портфеля.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u w:val="single"/>
              </w:rPr>
              <w:t>Требуется</w:t>
            </w:r>
            <w:r>
              <w:t>: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1. оценить темпы роста активов и соответствие их структуры структуре пассивов (с помощью соотношений кредитов и депозитов, МБК </w:t>
            </w:r>
            <w:r>
              <w:lastRenderedPageBreak/>
              <w:t xml:space="preserve">выданных и МБК полученных, иммобилизованных активов и собственных средств и др.);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2. рассчитать долю работающих активов, а также показатели рискованности кредитного портфеля;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оценить уровень диверсификации кредитного портфеля;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4. написать выводы по результатам проведенного анализа качества активов.</w:t>
            </w:r>
          </w:p>
          <w:p w:rsidR="00ED6AA4" w:rsidRDefault="00ED6AA4">
            <w:pPr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Используя данные официальной финансовой отчетности ПАО Московский кредитный банк (</w:t>
            </w:r>
            <w:hyperlink r:id="rId15">
              <w:r>
                <w:t>http://www.e-disclosure.ru/portal/company.aspx?id=202</w:t>
              </w:r>
            </w:hyperlink>
            <w:r>
              <w:t>), информация о принимаемых рисках, процедурах их оценки, управления рисками и капиталом банка, а также иные релевантные источники информации проведите оценку качества его активов и кредитного портфеля.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u w:val="single"/>
              </w:rPr>
              <w:t>Требуется</w:t>
            </w:r>
            <w:r>
              <w:t>: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1. оценить темпы роста активов и соответствие их структуры структуре пассивов (с помощью соотношений кредитов и депозитов, МБК выданных и МБК полученных, иммобилизованных активов и собственных средств и др.);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2. рассчитать долю работающих активов, а также показатели рискованности кредитного портфеля;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оценить уровень диверсификации кредитного портфеля;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4. написать выводы по результатам проведенного анализа качества </w:t>
            </w:r>
            <w:r>
              <w:lastRenderedPageBreak/>
              <w:t>активов.</w:t>
            </w:r>
          </w:p>
          <w:p w:rsidR="00ED6AA4" w:rsidRDefault="00ED6AA4">
            <w:pPr>
              <w:rPr>
                <w:b/>
              </w:rPr>
            </w:pPr>
          </w:p>
        </w:tc>
      </w:tr>
      <w:tr w:rsidR="00ED6AA4">
        <w:tc>
          <w:tcPr>
            <w:tcW w:w="2289" w:type="dxa"/>
          </w:tcPr>
          <w:p w:rsidR="00ED6AA4" w:rsidRDefault="00CE4BA7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ПК-4 </w:t>
            </w: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>Способность осуществлять контроль и координацию деятельности систем внутреннего контроля на всех уровнях управления банком</w:t>
            </w:r>
          </w:p>
        </w:tc>
        <w:tc>
          <w:tcPr>
            <w:tcW w:w="2667" w:type="dxa"/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1. Определяет источники, содержащие наиболее полную и достоверную информацию о работе объекта внутреннего контроля.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>2. Выявляет и оценивает условия, способствующие возникновению значимых рисков и их трансформации в рисковые события</w:t>
            </w:r>
          </w:p>
        </w:tc>
        <w:tc>
          <w:tcPr>
            <w:tcW w:w="2698" w:type="dxa"/>
          </w:tcPr>
          <w:p w:rsidR="00ED6AA4" w:rsidRDefault="00CE4BA7">
            <w:pPr>
              <w:jc w:val="both"/>
            </w:pPr>
            <w:r>
              <w:lastRenderedPageBreak/>
              <w:t xml:space="preserve">1. </w:t>
            </w:r>
          </w:p>
          <w:p w:rsidR="00ED6AA4" w:rsidRDefault="00CE4BA7">
            <w:pPr>
              <w:jc w:val="both"/>
            </w:pPr>
            <w:r>
              <w:rPr>
                <w:i/>
              </w:rPr>
              <w:t>знать</w:t>
            </w:r>
            <w:r>
              <w:t>: - основные методы финансового планирования в коммерческом банке;</w:t>
            </w:r>
          </w:p>
          <w:p w:rsidR="00ED6AA4" w:rsidRDefault="00CE4BA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составлять финансовые планы банка;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</w:pPr>
            <w:r>
              <w:t xml:space="preserve">2. </w:t>
            </w:r>
          </w:p>
          <w:p w:rsidR="00ED6AA4" w:rsidRDefault="00CE4BA7">
            <w:pPr>
              <w:jc w:val="both"/>
            </w:pPr>
            <w:r>
              <w:rPr>
                <w:i/>
              </w:rPr>
              <w:t>знать</w:t>
            </w:r>
            <w:r>
              <w:t>: - виды банковских рисков и их влияние на финансовую устойчивость банка,</w:t>
            </w: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применять современный математический инструментарий для количественной оценки рисков банка и выбора способов из минимизации.</w:t>
            </w:r>
          </w:p>
        </w:tc>
        <w:tc>
          <w:tcPr>
            <w:tcW w:w="7428" w:type="dxa"/>
          </w:tcPr>
          <w:p w:rsidR="00ED6AA4" w:rsidRDefault="00ED6AA4"/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2</w:t>
            </w:r>
          </w:p>
          <w:p w:rsidR="00ED6AA4" w:rsidRDefault="00CE4BA7">
            <w:pPr>
              <w:tabs>
                <w:tab w:val="left" w:pos="540"/>
              </w:tabs>
              <w:ind w:firstLine="601"/>
              <w:contextualSpacing/>
              <w:jc w:val="both"/>
            </w:pPr>
            <w:r>
              <w:t>Используя доступные данные финансовой отчетности КБ «Центр-Инвест», проведите оценку качества его привлеченных и заемных средств.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u w:val="single"/>
              </w:rPr>
              <w:t>Требуется</w:t>
            </w:r>
            <w:r>
              <w:t>: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1. оценить степень диверсификации обязательств банка (по источникам привлечения ресурсов, по отраслевой принадлежности клиентов, по доли крупнейших кредиторов);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2. оценить зависимость от фондирования ресурсами Банка России и ресурсами связанных лиц (с помощью показателей доли этих ресурсов в структуре пассивов или обязательств банка);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написать выводы по результатам проведенного анализа качества ресурсной базы</w:t>
            </w:r>
          </w:p>
          <w:p w:rsidR="00ED6AA4" w:rsidRDefault="00ED6AA4"/>
          <w:p w:rsidR="00ED6AA4" w:rsidRDefault="00ED6AA4"/>
          <w:p w:rsidR="00ED6AA4" w:rsidRDefault="00CE4BA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contextualSpacing/>
              <w:jc w:val="both"/>
            </w:pPr>
            <w:r>
              <w:rPr>
                <w:u w:val="single"/>
              </w:rPr>
              <w:t>Рассчитать</w:t>
            </w:r>
            <w:r>
              <w:t xml:space="preserve"> норматив достаточности собственного капитала (Н1.0) по данным таблицы 1, а также </w:t>
            </w:r>
            <w:r>
              <w:rPr>
                <w:u w:val="single"/>
              </w:rPr>
              <w:t>определить</w:t>
            </w:r>
            <w:r>
              <w:t xml:space="preserve"> объем убытка (вследствие реализации кредитного риска), который может принять банка при условии соблюдения норматива достаточности собственного капитала и надбавок к капиталу. Допустим, что ниже приведены данные по системно значимому банку.</w:t>
            </w:r>
          </w:p>
          <w:p w:rsidR="00ED6AA4" w:rsidRDefault="00ED6AA4">
            <w:pPr>
              <w:contextualSpacing/>
              <w:jc w:val="both"/>
            </w:pPr>
          </w:p>
          <w:p w:rsidR="00ED6AA4" w:rsidRDefault="00CE4BA7">
            <w:pPr>
              <w:contextualSpacing/>
              <w:jc w:val="both"/>
            </w:pPr>
            <w:r>
              <w:t>Таблица 1. Данные для оценки достаточности собственного капитала (млн. руб.)</w:t>
            </w:r>
          </w:p>
          <w:p w:rsidR="00ED6AA4" w:rsidRDefault="00ED6AA4">
            <w:pPr>
              <w:contextualSpacing/>
              <w:jc w:val="both"/>
            </w:pP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1446"/>
              <w:gridCol w:w="2440"/>
              <w:gridCol w:w="1943"/>
            </w:tblGrid>
            <w:tr w:rsidR="00ED6AA4">
              <w:tc>
                <w:tcPr>
                  <w:tcW w:w="1446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Собственный капитал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457,1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 xml:space="preserve">Базовый капитал 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290,4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Основной капитал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279,7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lastRenderedPageBreak/>
                    <w:t>Ар11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266,2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Ар12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266,2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Ар10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1-й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265,2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26,8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26,8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Ар20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2-й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25,4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18,5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18,5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Ар30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3-й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19,0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2 376,5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2 376,7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Ар40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4-й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2 382,2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Ар51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Ар52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Ар50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 5-й группы риска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8807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Ипотека с достаточным обеспечением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БК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Активы, предусматривающие применение повышенных требований по покрытию капиталом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13,7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ПКр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Потребительские кредиты (без обеспечения)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0,5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</w:p>
              </w:tc>
              <w:tc>
                <w:tcPr>
                  <w:tcW w:w="2440" w:type="dxa"/>
                  <w:vMerge w:val="restart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 xml:space="preserve">Требования к связанным лицам 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380,8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</w:p>
              </w:tc>
              <w:tc>
                <w:tcPr>
                  <w:tcW w:w="2440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382,3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Код 8957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</w:p>
              </w:tc>
              <w:tc>
                <w:tcPr>
                  <w:tcW w:w="2440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380,8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440" w:type="dxa"/>
                  <w:vMerge w:val="restart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кредитного риска по условным обязательствам кредитного характера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408,4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1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440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408,4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КРВ (код 8810</w:t>
                  </w:r>
                  <w:r>
                    <w:rPr>
                      <w:spacing w:val="-2"/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pacing w:val="-2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440" w:type="dxa"/>
                  <w:vMerge/>
                </w:tcPr>
                <w:p w:rsidR="00ED6AA4" w:rsidRDefault="00ED6AA4">
                  <w:pPr>
                    <w:rPr>
                      <w:spacing w:val="-2"/>
                      <w:sz w:val="18"/>
                      <w:szCs w:val="18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408,4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КРС (код 8811)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кредитного риска по срочным сделкам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27,2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РСК (код 8866)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Величина риска изменения стоимости кредитного требования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0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ОР (код 8942)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Операционный риск (с учетом коэффициента 12,5)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13,4</w:t>
                  </w:r>
                </w:p>
              </w:tc>
            </w:tr>
            <w:tr w:rsidR="00ED6AA4">
              <w:tc>
                <w:tcPr>
                  <w:tcW w:w="1446" w:type="dxa"/>
                  <w:vAlign w:val="center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РР (код 8812)</w:t>
                  </w:r>
                </w:p>
              </w:tc>
              <w:tc>
                <w:tcPr>
                  <w:tcW w:w="2440" w:type="dxa"/>
                </w:tcPr>
                <w:p w:rsidR="00ED6AA4" w:rsidRDefault="00CE4BA7">
                  <w:pPr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Рыночный риск</w:t>
                  </w:r>
                </w:p>
              </w:tc>
              <w:tc>
                <w:tcPr>
                  <w:tcW w:w="1943" w:type="dxa"/>
                  <w:vAlign w:val="center"/>
                </w:tcPr>
                <w:p w:rsidR="00ED6AA4" w:rsidRDefault="00CE4BA7">
                  <w:pPr>
                    <w:jc w:val="right"/>
                    <w:rPr>
                      <w:spacing w:val="-2"/>
                      <w:sz w:val="18"/>
                      <w:szCs w:val="18"/>
                    </w:rPr>
                  </w:pPr>
                  <w:r>
                    <w:rPr>
                      <w:spacing w:val="-2"/>
                      <w:sz w:val="18"/>
                      <w:szCs w:val="18"/>
                    </w:rPr>
                    <w:t>190,0</w:t>
                  </w:r>
                </w:p>
              </w:tc>
            </w:tr>
          </w:tbl>
          <w:p w:rsidR="00ED6AA4" w:rsidRDefault="00ED6AA4"/>
          <w:p w:rsidR="00ED6AA4" w:rsidRDefault="00ED6AA4"/>
          <w:p w:rsidR="00ED6AA4" w:rsidRDefault="00ED6AA4"/>
          <w:p w:rsidR="00ED6AA4" w:rsidRDefault="00ED6AA4"/>
          <w:p w:rsidR="00ED6AA4" w:rsidRDefault="00ED6AA4"/>
          <w:p w:rsidR="00ED6AA4" w:rsidRDefault="00ED6AA4">
            <w:pPr>
              <w:jc w:val="both"/>
              <w:rPr>
                <w:b/>
                <w:bCs/>
              </w:rPr>
            </w:pPr>
          </w:p>
        </w:tc>
      </w:tr>
      <w:tr w:rsidR="00ED6AA4">
        <w:tc>
          <w:tcPr>
            <w:tcW w:w="2289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ПКП-2</w:t>
            </w: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>Способность использовать финансовые технологии для развития и повышения эффективности деятельности субъектов финансового рынка, в том числе коммерческих банков</w:t>
            </w:r>
          </w:p>
        </w:tc>
        <w:tc>
          <w:tcPr>
            <w:tcW w:w="2667" w:type="dxa"/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1.</w:t>
            </w:r>
            <w:r>
              <w:tab/>
              <w:t>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2.</w:t>
            </w:r>
            <w:r>
              <w:tab/>
              <w:t>Выявляет проблемы использования финансовых технологий в банковском секторе и разрабатывает рекомендации по их преодолению.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  <w:rPr>
                <w:b/>
                <w:bCs/>
              </w:rPr>
            </w:pPr>
          </w:p>
        </w:tc>
        <w:tc>
          <w:tcPr>
            <w:tcW w:w="2698" w:type="dxa"/>
          </w:tcPr>
          <w:p w:rsidR="00ED6AA4" w:rsidRDefault="00CE4BA7">
            <w:pPr>
              <w:jc w:val="both"/>
            </w:pPr>
            <w:r>
              <w:lastRenderedPageBreak/>
              <w:t>1.</w:t>
            </w:r>
          </w:p>
          <w:p w:rsidR="00ED6AA4" w:rsidRDefault="00CE4BA7">
            <w:pPr>
              <w:jc w:val="both"/>
            </w:pPr>
            <w:r>
              <w:t>знать: - основные направления и методы анализа и оценки финансового состояния коммерческого банка;</w:t>
            </w:r>
          </w:p>
          <w:p w:rsidR="00ED6AA4" w:rsidRDefault="00CE4BA7">
            <w:pPr>
              <w:jc w:val="both"/>
            </w:pPr>
            <w:r>
              <w:t xml:space="preserve"> уметь: - правильно пользоваться приложениями для работы с данными (импорт данных, проверки корректности, построение сводных таблиц и т.п.);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 xml:space="preserve">2. 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теоретические основы применения современных цифровых технологий для проведения оценки финансовой устойчивости банков, их достоинства и недостатки;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- источники больших данных о финансовом и рыночном положении банка (analizbankov.ru, cbr.ru);</w:t>
            </w:r>
          </w:p>
          <w:p w:rsidR="00ED6AA4" w:rsidRDefault="00CE4BA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 xml:space="preserve">: - анализировать данные о финансовом </w:t>
            </w:r>
            <w:r>
              <w:lastRenderedPageBreak/>
              <w:t>состоянии банка для определения перспектив его развития;</w:t>
            </w:r>
          </w:p>
          <w:p w:rsidR="00ED6AA4" w:rsidRDefault="00CE4BA7">
            <w:pPr>
              <w:jc w:val="both"/>
            </w:pPr>
            <w:r>
              <w:t>- представлять результаты оценки финансового состояния банков с применением современных приложений для анализа данных.</w:t>
            </w:r>
          </w:p>
          <w:p w:rsidR="00ED6AA4" w:rsidRDefault="00ED6AA4">
            <w:pPr>
              <w:jc w:val="both"/>
              <w:rPr>
                <w:b/>
                <w:bCs/>
              </w:rPr>
            </w:pPr>
          </w:p>
        </w:tc>
        <w:tc>
          <w:tcPr>
            <w:tcW w:w="7428" w:type="dxa"/>
          </w:tcPr>
          <w:p w:rsidR="00ED6AA4" w:rsidRDefault="00ED6AA4">
            <w:pPr>
              <w:rPr>
                <w:b/>
                <w:bCs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tabs>
                <w:tab w:val="left" w:pos="540"/>
              </w:tabs>
              <w:ind w:firstLine="318"/>
              <w:contextualSpacing/>
              <w:jc w:val="both"/>
            </w:pPr>
            <w:r>
              <w:t>Используя имеющиеся данные, проведите оценку качества активов и кредитного портфеля крупного универсального банка.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rPr>
                <w:u w:val="single"/>
              </w:rPr>
              <w:t>Требуется</w:t>
            </w:r>
            <w:r>
              <w:t>: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1. рассчитать показатели рискованности кредитного портфеля (таблица 2);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2. оценить уровень диверсификации кредитного портфеля (таблица 1);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написать выводы по результатам проведенного анализа качества активов.</w:t>
            </w:r>
          </w:p>
          <w:p w:rsidR="00ED6AA4" w:rsidRDefault="00CE4BA7">
            <w:pPr>
              <w:tabs>
                <w:tab w:val="left" w:pos="540"/>
              </w:tabs>
              <w:ind w:firstLine="601"/>
              <w:contextualSpacing/>
              <w:jc w:val="both"/>
            </w:pPr>
            <w:r>
              <w:t>Основной капитал (I уровня) банка на 31.12.2015 составляет 151 млрд руб. По данным управленческой отчетности связанным сторонам выданы кредиты на общую сумму 170 млрд руб. (по состоянию на 31.12.2015).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right"/>
            </w:pPr>
            <w:r>
              <w:t xml:space="preserve">Таблица 1.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Отраслевая структура корпоративных кредитов, на конец года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right"/>
            </w:pPr>
            <w:r>
              <w:t>млрд руб.</w:t>
            </w: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2836"/>
              <w:gridCol w:w="708"/>
              <w:gridCol w:w="709"/>
              <w:gridCol w:w="839"/>
            </w:tblGrid>
            <w:tr w:rsidR="00ED6AA4">
              <w:tc>
                <w:tcPr>
                  <w:tcW w:w="737" w:type="dxa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836" w:type="dxa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Отрасль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2013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2014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2015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Торговля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79,5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70,4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114,3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Обрабатывающие производства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12,2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19,1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63,7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Операции с недвижимым имуществом, аренда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11,1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15,1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47,8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Финансовая деятельность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25,0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30,0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45,0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Транспорт и связь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8,5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9,6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28,8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Добыча полезных ископаемых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0,9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3,9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28,6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Строительство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4,4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4,3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16,5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Сельское хозяйство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3,9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8,4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Электроэнергетика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0,1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2,5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Прочие виды деятельности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57,8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92,4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136,8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Требования по операциям РЕПО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8,2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12,1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201,0</w:t>
                  </w:r>
                </w:p>
              </w:tc>
            </w:tr>
            <w:tr w:rsidR="00ED6AA4">
              <w:tc>
                <w:tcPr>
                  <w:tcW w:w="737" w:type="dxa"/>
                  <w:vAlign w:val="center"/>
                </w:tcPr>
                <w:p w:rsidR="00ED6AA4" w:rsidRDefault="00ED6AA4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36" w:type="dxa"/>
                  <w:vAlign w:val="center"/>
                </w:tcPr>
                <w:p w:rsidR="00ED6AA4" w:rsidRDefault="00CE4BA7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Итого корпоративные кредиты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207,7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260,8</w:t>
                  </w:r>
                </w:p>
              </w:tc>
              <w:tc>
                <w:tcPr>
                  <w:tcW w:w="839" w:type="dxa"/>
                  <w:vAlign w:val="center"/>
                </w:tcPr>
                <w:p w:rsidR="00ED6AA4" w:rsidRDefault="00CE4BA7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693,2</w:t>
                  </w:r>
                </w:p>
              </w:tc>
            </w:tr>
          </w:tbl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right"/>
            </w:pPr>
            <w:r>
              <w:lastRenderedPageBreak/>
              <w:t xml:space="preserve">Таблица 2.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Динамика просроченной задолженности и РВПС, на конец года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right"/>
            </w:pPr>
            <w:r>
              <w:t>млрд руб.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tbl>
            <w:tblPr>
              <w:tblW w:w="602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1611"/>
              <w:gridCol w:w="1133"/>
              <w:gridCol w:w="708"/>
              <w:gridCol w:w="708"/>
              <w:gridCol w:w="709"/>
              <w:gridCol w:w="697"/>
            </w:tblGrid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611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Cs/>
                      <w:sz w:val="18"/>
                      <w:szCs w:val="18"/>
                    </w:rPr>
                    <w:t>РВПС и просроченная задолженность</w:t>
                  </w:r>
                </w:p>
              </w:tc>
              <w:tc>
                <w:tcPr>
                  <w:tcW w:w="1133" w:type="dxa"/>
                  <w:vAlign w:val="bottom"/>
                </w:tcPr>
                <w:p w:rsidR="00ED6AA4" w:rsidRDefault="00ED6AA4">
                  <w:pPr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2012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2013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2014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2015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5566" w:type="dxa"/>
                  <w:gridSpan w:val="6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Корпоративный портфель 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просроченная задолженность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1,2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4,3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27,7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РВПС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0,5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0,9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3,2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23,4 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2.</w:t>
                  </w:r>
                </w:p>
              </w:tc>
              <w:tc>
                <w:tcPr>
                  <w:tcW w:w="5566" w:type="dxa"/>
                  <w:gridSpan w:val="6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Розничный портфель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просроченная задолженность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3,4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7,9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14,1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16,7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РВПС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2,0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3,8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8,5 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10,2 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5566" w:type="dxa"/>
                  <w:gridSpan w:val="6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Итого по кредитному портфелю 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sz w:val="18"/>
                      <w:szCs w:val="18"/>
                    </w:rPr>
                    <w:t>просроченная задолженность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3,9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18,4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44,4</w:t>
                  </w:r>
                </w:p>
              </w:tc>
            </w:tr>
            <w:tr w:rsidR="00ED6AA4">
              <w:tc>
                <w:tcPr>
                  <w:tcW w:w="453" w:type="dxa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744" w:type="dxa"/>
                  <w:gridSpan w:val="2"/>
                  <w:vAlign w:val="bottom"/>
                </w:tcPr>
                <w:p w:rsidR="00ED6AA4" w:rsidRDefault="00CE4BA7">
                  <w:pPr>
                    <w:rPr>
                      <w:rFonts w:eastAsia="Times New Roman"/>
                      <w:b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sz w:val="18"/>
                      <w:szCs w:val="18"/>
                    </w:rPr>
                    <w:t>РВПС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2,4</w:t>
                  </w:r>
                </w:p>
              </w:tc>
              <w:tc>
                <w:tcPr>
                  <w:tcW w:w="70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4,7</w:t>
                  </w:r>
                </w:p>
              </w:tc>
              <w:tc>
                <w:tcPr>
                  <w:tcW w:w="709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11,7 </w:t>
                  </w:r>
                </w:p>
              </w:tc>
              <w:tc>
                <w:tcPr>
                  <w:tcW w:w="697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b/>
                      <w:bCs/>
                      <w:sz w:val="18"/>
                      <w:szCs w:val="18"/>
                    </w:rPr>
                    <w:t>33,6 </w:t>
                  </w:r>
                </w:p>
              </w:tc>
            </w:tr>
          </w:tbl>
          <w:p w:rsidR="00ED6AA4" w:rsidRDefault="00ED6AA4">
            <w:pPr>
              <w:tabs>
                <w:tab w:val="left" w:pos="540"/>
              </w:tabs>
              <w:contextualSpacing/>
              <w:rPr>
                <w:b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1. Обоснуйте и сформируйте выбору сопоставимых с ПАО МКБ банков (не менее 4) с помощью портала банковского аналитика analizbankov.ru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2. Соберите информацию из открытых источников структурированных данных для анализа структуры и качества собственного капитала выбранных банков (analizbankov.ru, cbr.ru)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Проведите копирование данных в табличный редактор.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4. Проведите сравнительный анализ структуры капитала и показателей качества капитала (не менее 5, в т.ч. КУГК).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5. Для визуализации результатов анализа необходимо построить: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- не менее 3-х диаграмм, 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- не менее 2-х таблиц.</w:t>
            </w:r>
          </w:p>
          <w:p w:rsidR="00ED6AA4" w:rsidRDefault="00ED6AA4">
            <w:pPr>
              <w:rPr>
                <w:b/>
                <w:bCs/>
              </w:rPr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/>
        </w:tc>
      </w:tr>
      <w:tr w:rsidR="00ED6AA4">
        <w:tc>
          <w:tcPr>
            <w:tcW w:w="2289" w:type="dxa"/>
          </w:tcPr>
          <w:p w:rsidR="00ED6AA4" w:rsidRDefault="00CE4BA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ПКП-1</w:t>
            </w:r>
          </w:p>
          <w:p w:rsidR="00ED6AA4" w:rsidRDefault="00CE4BA7">
            <w:pPr>
              <w:jc w:val="both"/>
              <w:rPr>
                <w:b/>
                <w:bCs/>
              </w:rPr>
            </w:pPr>
            <w: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</w:t>
            </w:r>
            <w:r>
              <w:lastRenderedPageBreak/>
              <w:t xml:space="preserve">субъектов финансового рынка и осуществлять услуги по финансовому консультированию в рамках компетенции    </w:t>
            </w:r>
          </w:p>
        </w:tc>
        <w:tc>
          <w:tcPr>
            <w:tcW w:w="2667" w:type="dxa"/>
          </w:tcPr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>1. Владеет современным инструментарием анализа финансового рынка и деятельности отдельных коммерческих банков.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2. Применяет профессиональные </w:t>
            </w:r>
            <w:r>
              <w:lastRenderedPageBreak/>
              <w:t>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  <w:rPr>
                <w:b/>
                <w:bCs/>
              </w:rPr>
            </w:pPr>
          </w:p>
        </w:tc>
        <w:tc>
          <w:tcPr>
            <w:tcW w:w="2698" w:type="dxa"/>
          </w:tcPr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lastRenderedPageBreak/>
              <w:t>1.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>: - сходства и различия российских и зарубежных методик оценки финансового состояния коммерческих банков;</w:t>
            </w:r>
          </w:p>
          <w:p w:rsidR="00ED6AA4" w:rsidRDefault="00CE4BA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находить и обобщать информацию, необходимую для проведения анализа и оценки финансового состояния коммерческого банка;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t>2.</w:t>
            </w:r>
          </w:p>
          <w:p w:rsidR="00ED6AA4" w:rsidRDefault="00CE4BA7">
            <w:pPr>
              <w:jc w:val="both"/>
              <w:rPr>
                <w:b/>
                <w:sz w:val="28"/>
                <w:szCs w:val="28"/>
              </w:rPr>
            </w:pPr>
            <w:r>
              <w:rPr>
                <w:i/>
              </w:rPr>
              <w:t>знать</w:t>
            </w:r>
            <w:r>
              <w:t xml:space="preserve">: - особенности </w:t>
            </w:r>
            <w:r>
              <w:lastRenderedPageBreak/>
              <w:t>российских и зарубежных моделей оценки финансовой устойчивости банков, применяемых органами банковского надзора,</w:t>
            </w:r>
          </w:p>
          <w:p w:rsidR="00ED6AA4" w:rsidRDefault="00CE4BA7">
            <w:pPr>
              <w:jc w:val="both"/>
            </w:pPr>
            <w:r>
              <w:t xml:space="preserve"> </w:t>
            </w:r>
            <w:r>
              <w:rPr>
                <w:i/>
              </w:rPr>
              <w:t>уметь</w:t>
            </w:r>
            <w:r>
              <w:t>: - проводить комплексный анализ и интерпретацию финансовой, бухгалтерской и иной информации для оценки перспектив деятельности банка.</w:t>
            </w: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</w:pPr>
          </w:p>
          <w:p w:rsidR="00ED6AA4" w:rsidRDefault="00ED6AA4">
            <w:pPr>
              <w:jc w:val="both"/>
              <w:rPr>
                <w:b/>
                <w:bCs/>
              </w:rPr>
            </w:pPr>
          </w:p>
        </w:tc>
        <w:tc>
          <w:tcPr>
            <w:tcW w:w="7428" w:type="dxa"/>
          </w:tcPr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ED6AA4" w:rsidRDefault="00CE4BA7">
            <w:pPr>
              <w:tabs>
                <w:tab w:val="left" w:pos="540"/>
              </w:tabs>
              <w:ind w:firstLine="459"/>
              <w:contextualSpacing/>
              <w:jc w:val="both"/>
            </w:pPr>
            <w:r>
              <w:t>По данным таблицы 1 оцените, используя метод «чистых ликвидных активов», ликвидность Группы "Сбербанк" для временного интервала до 30 дней. Сформулируйте выводы и дайте оценку полученным результатам.</w:t>
            </w:r>
          </w:p>
          <w:p w:rsidR="00ED6AA4" w:rsidRDefault="00CE4BA7">
            <w:pPr>
              <w:tabs>
                <w:tab w:val="left" w:pos="540"/>
              </w:tabs>
              <w:ind w:firstLine="459"/>
              <w:contextualSpacing/>
              <w:jc w:val="both"/>
            </w:pPr>
            <w:r>
              <w:t>В учебных целях будем считать, что доля нестабильной (летучей) части в составе депозитов до востребования составляет 15%.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Остатки на счетах до востреб. составляют 3 844,9 млрд руб., в т.ч.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−</w:t>
            </w:r>
            <w:r>
              <w:tab/>
              <w:t>Средства банков – 138,7 млрд руб.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−</w:t>
            </w:r>
            <w:r>
              <w:tab/>
              <w:t>Средства физических лиц – 1 886,2 млрд руб.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−</w:t>
            </w:r>
            <w:r>
              <w:tab/>
              <w:t>Средства корпоративных клиентов – 1 820,0 млрд руб.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Согласно расшифровке, в структуре инвестиционных ценных бумаг, удерживаемых до погашения (117,9 млрд руб.), 75,2 млрд руб. приходится на государственные облигации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right"/>
            </w:pPr>
            <w:r>
              <w:t>Таблица 1.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Временная структура баланса группы «Сбербанк», млрд руб.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 1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 xml:space="preserve">Используя имеющиеся данные (в таблицах 1, 2 и 3), проведите оценку </w:t>
            </w:r>
            <w:r>
              <w:lastRenderedPageBreak/>
              <w:t xml:space="preserve">качества и достаточности собственного капитала банка. </w:t>
            </w:r>
            <w:r>
              <w:rPr>
                <w:u w:val="single"/>
              </w:rPr>
              <w:t>Требуется</w:t>
            </w:r>
            <w:r>
              <w:t>: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1. определить и оценить структуру капитала банка в разрезе его элементов (в % к итогу);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2. рассчитать показатели мультипликатора капитала, долю совокупного риска к общей сумме балансовых активов, а также нормативы достаточности капитала банка и определить соответствие их фактического уровня требованиям ЦБ РФ;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3. проанализировать источники прироста собственного капитала банка за отчетный год (Таблица 3);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4. написать мотивированное заключение по результатам проведенного анализа.</w:t>
            </w: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Таблица 1. Информация о размере собственного капитала банка и его элементах, на конец года</w:t>
            </w: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3545"/>
              <w:gridCol w:w="851"/>
              <w:gridCol w:w="838"/>
            </w:tblGrid>
            <w:tr w:rsidR="00ED6AA4">
              <w:tc>
                <w:tcPr>
                  <w:tcW w:w="595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3544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Элемент собственного капитала</w:t>
                  </w:r>
                </w:p>
              </w:tc>
              <w:tc>
                <w:tcPr>
                  <w:tcW w:w="851" w:type="dxa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2016</w:t>
                  </w:r>
                </w:p>
              </w:tc>
              <w:tc>
                <w:tcPr>
                  <w:tcW w:w="838" w:type="dxa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2017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Основной капитал (</w:t>
                  </w:r>
                  <w:r>
                    <w:rPr>
                      <w:rFonts w:eastAsia="Calibri"/>
                      <w:b/>
                      <w:sz w:val="18"/>
                      <w:szCs w:val="18"/>
                      <w:lang w:val="en-US"/>
                    </w:rPr>
                    <w:t xml:space="preserve">I 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>уровня)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16 617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14 577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Базовый капитал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16 617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14 577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Уставный капитал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2 195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2 195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ind w:left="175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обыкновенные акции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2 195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2195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ind w:left="175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привилегированные акции (выпущены до 01.03.13, некумулятивные)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-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Эмиссионный доход, связанный с акциями, включенными в базовый капитал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4 693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4 693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Резервный фонд (за счет прибыли, подтвержденной аудиторским заключением)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374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374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Нераспределенная прибыль, подтвержденная аудиторским заключением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10 805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9 087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прошлых лет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10 805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 xml:space="preserve"> 9 087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отчетного года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i/>
                      <w:sz w:val="18"/>
                      <w:szCs w:val="18"/>
                    </w:rPr>
                  </w:pPr>
                  <w:r>
                    <w:rPr>
                      <w:rFonts w:eastAsia="Calibri"/>
                      <w:i/>
                      <w:sz w:val="18"/>
                      <w:szCs w:val="18"/>
                    </w:rPr>
                    <w:t>-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Нематериальные активы за минусом износа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(113)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(162)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Сумма налога на прибыль, подлежащая возмещению в будущих периодах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(726)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Отрицательная величина добавочного капитала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(82)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(43)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Убытки прошлых лет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-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Убыток текущего года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(1 255)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(841)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Добавочный капитал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Дополнительный капитал (</w:t>
                  </w:r>
                  <w:r>
                    <w:rPr>
                      <w:rFonts w:eastAsia="Calibri"/>
                      <w:b/>
                      <w:sz w:val="18"/>
                      <w:szCs w:val="18"/>
                      <w:lang w:val="en-US"/>
                    </w:rPr>
                    <w:t>II уровня</w:t>
                  </w:r>
                  <w:r>
                    <w:rPr>
                      <w:rFonts w:eastAsia="Calibri"/>
                      <w:b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8 634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6 435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Субординированный кредит по остаточной стоимости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8 581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6 310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Прибыль текущего года, не подтвержденная аудиторским заключением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-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Прирост стоимости имущества за счет переоценки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125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sz w:val="18"/>
                      <w:szCs w:val="18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Итого собственный капитал</w:t>
                  </w:r>
                </w:p>
              </w:tc>
              <w:tc>
                <w:tcPr>
                  <w:tcW w:w="851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25 251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21 012</w:t>
                  </w:r>
                </w:p>
              </w:tc>
            </w:tr>
          </w:tbl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Таблица 2. Информация о структуре совокупного риска банка, млн руб. на конец года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3404"/>
              <w:gridCol w:w="992"/>
              <w:gridCol w:w="838"/>
            </w:tblGrid>
            <w:tr w:rsidR="00ED6AA4">
              <w:tc>
                <w:tcPr>
                  <w:tcW w:w="595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3403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Элемент совокупного риска</w:t>
                  </w:r>
                </w:p>
              </w:tc>
              <w:tc>
                <w:tcPr>
                  <w:tcW w:w="992" w:type="dxa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2016</w:t>
                  </w:r>
                </w:p>
              </w:tc>
              <w:tc>
                <w:tcPr>
                  <w:tcW w:w="838" w:type="dxa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2017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Кредитный риск по балансовым активам (взвешенным по уровню риска)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118 485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103 119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Операции с повышенным коэффициентом (ПК и ПКв)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31 847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33 851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Операционный риск (ОР) с k=12,5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1 528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1 652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Рыночный риск (РР)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10 664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14 349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Кредитный риск по словным обязательствам кредитного характера (КРВ)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20 942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13 889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Прочие элементы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22 733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15 223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Итого величина совокупного риска банка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206 198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182 083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403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 xml:space="preserve">Для справки. </w:t>
                  </w:r>
                  <w:r>
                    <w:rPr>
                      <w:rFonts w:eastAsia="Calibri"/>
                      <w:sz w:val="18"/>
                      <w:szCs w:val="18"/>
                    </w:rPr>
                    <w:t>Валюта баланса</w:t>
                  </w:r>
                </w:p>
              </w:tc>
              <w:tc>
                <w:tcPr>
                  <w:tcW w:w="992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198 861</w:t>
                  </w:r>
                </w:p>
              </w:tc>
              <w:tc>
                <w:tcPr>
                  <w:tcW w:w="838" w:type="dxa"/>
                  <w:vAlign w:val="center"/>
                </w:tcPr>
                <w:p w:rsidR="00ED6AA4" w:rsidRDefault="00CE4BA7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214 486</w:t>
                  </w:r>
                </w:p>
              </w:tc>
            </w:tr>
          </w:tbl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p w:rsidR="00ED6AA4" w:rsidRDefault="00CE4BA7">
            <w:pPr>
              <w:tabs>
                <w:tab w:val="left" w:pos="540"/>
              </w:tabs>
              <w:contextualSpacing/>
              <w:jc w:val="both"/>
            </w:pPr>
            <w:r>
              <w:t>Таблица 3. Источники прироста собственного капитала банка по укрупненным статьям, млн руб. за год</w:t>
            </w:r>
          </w:p>
          <w:p w:rsidR="00ED6AA4" w:rsidRDefault="00ED6AA4">
            <w:pPr>
              <w:tabs>
                <w:tab w:val="left" w:pos="540"/>
              </w:tabs>
              <w:contextualSpacing/>
              <w:jc w:val="both"/>
            </w:pPr>
          </w:p>
          <w:tbl>
            <w:tblPr>
              <w:tblW w:w="5829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4254"/>
              <w:gridCol w:w="980"/>
            </w:tblGrid>
            <w:tr w:rsidR="00ED6AA4">
              <w:tc>
                <w:tcPr>
                  <w:tcW w:w="595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4254" w:type="dxa"/>
                </w:tcPr>
                <w:p w:rsidR="00ED6AA4" w:rsidRDefault="00CE4BA7">
                  <w:pPr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Источники прироста капитала</w:t>
                  </w:r>
                </w:p>
              </w:tc>
              <w:tc>
                <w:tcPr>
                  <w:tcW w:w="980" w:type="dxa"/>
                </w:tcPr>
                <w:p w:rsidR="00ED6AA4" w:rsidRDefault="00CE4BA7">
                  <w:pPr>
                    <w:jc w:val="right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2017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Внутренние источники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(1 303)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Нераспределенная прибыль и резервный капитал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(1 717)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Непокрытые убытки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414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Внешние источники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(2 271)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Обыкновенные акции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lastRenderedPageBreak/>
                    <w:t>2.2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Эмиссионный доход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2.3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Привилегированные акции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2.4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Субординированные обязательства (кроме 173-ФЗ и 175-ФЗ)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(2 015)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2.5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Субординированные обязательства (173-ФЗ и 175-ФЗ)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(257)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2.6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Прочие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(664)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2.7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Вложения в акции финансовых организаций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2.8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Предоставленные субординированные кредиты (депозиты)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0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2.9</w:t>
                  </w: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Прочее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(664)</w:t>
                  </w:r>
                </w:p>
              </w:tc>
            </w:tr>
            <w:tr w:rsidR="00ED6AA4">
              <w:tc>
                <w:tcPr>
                  <w:tcW w:w="595" w:type="dxa"/>
                  <w:vAlign w:val="center"/>
                </w:tcPr>
                <w:p w:rsidR="00ED6AA4" w:rsidRDefault="00ED6AA4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254" w:type="dxa"/>
                  <w:vAlign w:val="center"/>
                </w:tcPr>
                <w:p w:rsidR="00ED6AA4" w:rsidRDefault="00CE4BA7">
                  <w:pPr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Итого прирост капитала банка</w:t>
                  </w:r>
                </w:p>
              </w:tc>
              <w:tc>
                <w:tcPr>
                  <w:tcW w:w="980" w:type="dxa"/>
                  <w:vAlign w:val="center"/>
                </w:tcPr>
                <w:p w:rsidR="00ED6AA4" w:rsidRDefault="00CE4BA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(4 239)</w:t>
                  </w:r>
                </w:p>
              </w:tc>
            </w:tr>
          </w:tbl>
          <w:p w:rsidR="00ED6AA4" w:rsidRDefault="00ED6AA4"/>
          <w:p w:rsidR="00ED6AA4" w:rsidRDefault="00ED6AA4">
            <w:pPr>
              <w:rPr>
                <w:b/>
                <w:bCs/>
              </w:rPr>
            </w:pPr>
          </w:p>
        </w:tc>
      </w:tr>
    </w:tbl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</w:pPr>
    </w:p>
    <w:p w:rsidR="00ED6AA4" w:rsidRDefault="00ED6AA4">
      <w:pPr>
        <w:spacing w:line="360" w:lineRule="exact"/>
        <w:ind w:firstLine="708"/>
        <w:jc w:val="right"/>
        <w:rPr>
          <w:sz w:val="28"/>
          <w:szCs w:val="20"/>
        </w:rPr>
        <w:sectPr w:rsidR="00ED6AA4">
          <w:headerReference w:type="default" r:id="rId16"/>
          <w:footerReference w:type="default" r:id="rId17"/>
          <w:pgSz w:w="16838" w:h="11906" w:orient="landscape"/>
          <w:pgMar w:top="850" w:right="1134" w:bottom="1701" w:left="1134" w:header="708" w:footer="708" w:gutter="0"/>
          <w:cols w:space="720"/>
          <w:formProt w:val="0"/>
          <w:docGrid w:linePitch="360"/>
        </w:sectPr>
      </w:pPr>
    </w:p>
    <w:p w:rsidR="00ED6AA4" w:rsidRDefault="00ED6AA4">
      <w:pPr>
        <w:spacing w:line="360" w:lineRule="exact"/>
        <w:ind w:firstLine="708"/>
        <w:jc w:val="both"/>
        <w:rPr>
          <w:sz w:val="28"/>
          <w:szCs w:val="20"/>
        </w:rPr>
      </w:pPr>
      <w:bookmarkStart w:id="19" w:name="_Hlk107308697"/>
      <w:bookmarkEnd w:id="19"/>
    </w:p>
    <w:p w:rsidR="00ED6AA4" w:rsidRDefault="00CE4BA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для зачета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Достоинства и недостатки финансовой отчетности по РСБУ, по МСФО и управленческой отчетности.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Субъекты изучения финансового состояния коммерческого банка и их цели.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Источники информации для анализа финансового состояния коммерческого банка, их содержание и особенности.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Классификация и содержание факторов, влияющих на финансовое состояние банка, его устойчивость, надежность, равновесность и стабильность</w:t>
      </w:r>
      <w:r>
        <w:rPr>
          <w:sz w:val="28"/>
        </w:rPr>
        <w:t>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Основные формы финансовой отчетности российских банков: содержание, их взаимосвязь и назначение для оценки финансового состояния банка.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Система оценки финансовой устойчивости банка: понятие и составные элементы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Механизм оценки финансовой устойчивости банка: понятие, критерии и показатели, процедура, организация и методы оценки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Оценка нефинансовых факторов кредитоспособности банка: перечень факторов и их краткая характеристика 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Основные этапы анализа и оценки качества активов коммерческого банка.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Методы оценки качества кредитного портфеля коммерческого банка. 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Финансовые показатели для анализа качества кредитного портфеля.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Концентрация кредитного портфеля: понятие, влияние на финансовое состояние банка, типы и способы оценки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Компоненты кредитного анализа банков по методике любого из рейтинговых агентств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Понятие собственного капитала банка и его состав для целей составления бухгалтерского баланса и для целей регулирования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Структура собственного (регуляторного) капитала, критерии распределения элементов между уровнями капитала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Порядок расчета величины собственного (регуляторного) капитала, согласно Положению Банка России № 646-П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Источники формирования собственного капитала банка и основные критерии их выбора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Экономическое содержание и уровни четырех нормативов достаточности капитала банка 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Надбавки к достаточности капитала: виды, порядок введения, границы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Коэффициент усредненной генерации капитала: назначение, экономический</w:t>
      </w:r>
      <w:r>
        <w:rPr>
          <w:sz w:val="28"/>
        </w:rPr>
        <w:t xml:space="preserve"> </w:t>
      </w:r>
      <w:r>
        <w:rPr>
          <w:sz w:val="28"/>
          <w:szCs w:val="28"/>
        </w:rPr>
        <w:t>смысл, порядок расчета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Основные направления оценки собственного капитала банка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Основные подходы к анализу источников прибыли банка.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Опишите содержание декомпозиционного анализа значения показателя рентабельности собственного капитала (ROE) банка (модель Дюпона)? Каковы подходы к интерпретации результатов расчета?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Система коэффициентов, используемых для оценки уровня прибыльности банка.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Основные направления оценки качества ресурсной базы банка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</w:pPr>
      <w:r>
        <w:rPr>
          <w:sz w:val="28"/>
          <w:szCs w:val="28"/>
        </w:rPr>
        <w:t>Подходы к оценке степени диверсификации ресурсной базы банка</w:t>
      </w:r>
    </w:p>
    <w:p w:rsidR="00ED6AA4" w:rsidRDefault="00CE4BA7">
      <w:pPr>
        <w:pStyle w:val="afc"/>
        <w:widowControl/>
        <w:numPr>
          <w:ilvl w:val="0"/>
          <w:numId w:val="1"/>
        </w:numPr>
        <w:spacing w:after="120" w:line="360" w:lineRule="auto"/>
        <w:ind w:hanging="436"/>
        <w:contextualSpacing/>
        <w:rPr>
          <w:sz w:val="28"/>
          <w:szCs w:val="28"/>
        </w:rPr>
        <w:sectPr w:rsidR="00ED6AA4">
          <w:headerReference w:type="default" r:id="rId18"/>
          <w:footerReference w:type="default" r:id="rId19"/>
          <w:pgSz w:w="11906" w:h="16838"/>
          <w:pgMar w:top="851" w:right="850" w:bottom="993" w:left="993" w:header="708" w:footer="708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Показатели оценки стабильности ресурсной базы банка и величины неснижаемого остатка на счетах клиентов </w:t>
      </w:r>
    </w:p>
    <w:p w:rsidR="00ED6AA4" w:rsidRDefault="00CE4BA7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Пример задания на зачете </w:t>
      </w:r>
    </w:p>
    <w:p w:rsidR="00ED6AA4" w:rsidRDefault="00CE4BA7">
      <w:pPr>
        <w:jc w:val="center"/>
        <w:rPr>
          <w:b/>
        </w:rPr>
      </w:pPr>
      <w:r>
        <w:rPr>
          <w:b/>
        </w:rPr>
        <w:t xml:space="preserve">  ВАРИАНТ № 1</w:t>
      </w:r>
    </w:p>
    <w:p w:rsidR="00ED6AA4" w:rsidRDefault="00ED6AA4">
      <w:pPr>
        <w:jc w:val="center"/>
        <w:rPr>
          <w:b/>
        </w:rPr>
      </w:pPr>
    </w:p>
    <w:p w:rsidR="00ED6AA4" w:rsidRDefault="00CE4BA7">
      <w:pPr>
        <w:pStyle w:val="aff2"/>
        <w:jc w:val="both"/>
        <w:rPr>
          <w:rStyle w:val="FontStyle13"/>
          <w:rFonts w:eastAsiaTheme="majorEastAsia"/>
          <w:b/>
          <w:color w:val="auto"/>
        </w:rPr>
      </w:pPr>
      <w:r>
        <w:rPr>
          <w:rStyle w:val="FontStyle13"/>
          <w:rFonts w:eastAsiaTheme="majorEastAsia"/>
          <w:b/>
          <w:color w:val="auto"/>
        </w:rPr>
        <w:t>ЗАДАНИЕ 1. Дайте развернутый ответ на теоретический вопрос (максимум 15 баллов).</w:t>
      </w:r>
    </w:p>
    <w:p w:rsidR="00ED6AA4" w:rsidRDefault="00CE4BA7">
      <w:pPr>
        <w:pStyle w:val="aff2"/>
        <w:jc w:val="both"/>
        <w:rPr>
          <w:rStyle w:val="FontStyle13"/>
          <w:rFonts w:eastAsiaTheme="majorEastAsia"/>
          <w:b/>
          <w:color w:val="auto"/>
        </w:rPr>
      </w:pPr>
      <w:r>
        <w:rPr>
          <w:rStyle w:val="FontStyle13"/>
          <w:rFonts w:eastAsiaTheme="majorEastAsia"/>
          <w:b/>
          <w:color w:val="auto"/>
        </w:rPr>
        <w:t>1.</w:t>
      </w:r>
      <w:r>
        <w:rPr>
          <w:rStyle w:val="FontStyle13"/>
          <w:rFonts w:eastAsiaTheme="majorEastAsia"/>
          <w:b/>
          <w:color w:val="auto"/>
        </w:rPr>
        <w:tab/>
        <w:t>Достоинства и недостатки финансовой отчетности по РСБУ, по МСФО и управленческой отчетности.</w:t>
      </w:r>
    </w:p>
    <w:p w:rsidR="00ED6AA4" w:rsidRDefault="00ED6AA4">
      <w:pPr>
        <w:pStyle w:val="aff2"/>
        <w:jc w:val="both"/>
        <w:rPr>
          <w:b/>
        </w:rPr>
      </w:pPr>
    </w:p>
    <w:p w:rsidR="00ED6AA4" w:rsidRDefault="00CE4BA7">
      <w:pPr>
        <w:pStyle w:val="aff2"/>
        <w:jc w:val="both"/>
        <w:rPr>
          <w:b/>
        </w:rPr>
      </w:pPr>
      <w:r>
        <w:rPr>
          <w:b/>
        </w:rPr>
        <w:t xml:space="preserve">ЗАДАНИЕ 2. </w:t>
      </w:r>
      <w:r>
        <w:rPr>
          <w:rStyle w:val="FontStyle13"/>
          <w:rFonts w:eastAsiaTheme="majorEastAsia"/>
          <w:b/>
          <w:color w:val="auto"/>
        </w:rPr>
        <w:t>Дайте развернутый ответ на дискуссионный теоретический вопрос (максимум 15 баллов).</w:t>
      </w:r>
    </w:p>
    <w:p w:rsidR="00ED6AA4" w:rsidRDefault="00CE4BA7">
      <w:pPr>
        <w:pStyle w:val="aff2"/>
        <w:jc w:val="both"/>
        <w:rPr>
          <w:sz w:val="28"/>
          <w:szCs w:val="28"/>
        </w:rPr>
      </w:pPr>
      <w:r>
        <w:rPr>
          <w:b/>
        </w:rPr>
        <w:t>Методы анализа уровня концентрации источников операционного дохода банка.</w:t>
      </w:r>
    </w:p>
    <w:p w:rsidR="00ED6AA4" w:rsidRDefault="00ED6AA4">
      <w:pPr>
        <w:pStyle w:val="aff2"/>
        <w:jc w:val="both"/>
        <w:rPr>
          <w:sz w:val="28"/>
          <w:szCs w:val="28"/>
        </w:rPr>
      </w:pPr>
    </w:p>
    <w:p w:rsidR="00ED6AA4" w:rsidRDefault="00CE4BA7">
      <w:pPr>
        <w:pStyle w:val="aff2"/>
        <w:jc w:val="both"/>
        <w:rPr>
          <w:color w:val="00B050"/>
          <w:sz w:val="28"/>
          <w:szCs w:val="28"/>
        </w:rPr>
      </w:pPr>
      <w:r>
        <w:rPr>
          <w:rStyle w:val="FontStyle15"/>
          <w:rFonts w:eastAsiaTheme="majorEastAsia"/>
          <w:color w:val="auto"/>
          <w:sz w:val="24"/>
          <w:szCs w:val="24"/>
        </w:rPr>
        <w:t>ЗАДАНИЕ 3. Выполните практико-ориентированное задание (максимум 30 баллов).</w:t>
      </w:r>
    </w:p>
    <w:p w:rsidR="00ED6AA4" w:rsidRDefault="00ED6AA4">
      <w:pPr>
        <w:pStyle w:val="aff2"/>
        <w:jc w:val="both"/>
        <w:rPr>
          <w:lang w:val="x-none"/>
        </w:rPr>
      </w:pPr>
    </w:p>
    <w:p w:rsidR="00ED6AA4" w:rsidRDefault="00CE4BA7">
      <w:pPr>
        <w:spacing w:after="120"/>
        <w:ind w:firstLine="708"/>
        <w:jc w:val="both"/>
        <w:rPr>
          <w:color w:val="00B050"/>
          <w:sz w:val="28"/>
          <w:szCs w:val="28"/>
        </w:rPr>
      </w:pPr>
      <w:r>
        <w:t xml:space="preserve">На основе данных о составе и структуре собственного (регуляторного) капитала банка (является </w:t>
      </w:r>
      <w:r>
        <w:rPr>
          <w:u w:val="single"/>
        </w:rPr>
        <w:t>системно значимым</w:t>
      </w:r>
      <w:r>
        <w:t xml:space="preserve">), структуре совокупного риска, дополнительных показателях баланса банка, его доходов и расходов (Таблицы 1-3) требуется: </w:t>
      </w:r>
    </w:p>
    <w:p w:rsidR="00ED6AA4" w:rsidRDefault="00CE4BA7">
      <w:pPr>
        <w:spacing w:after="120"/>
        <w:ind w:firstLine="708"/>
        <w:jc w:val="both"/>
        <w:rPr>
          <w:color w:val="00B050"/>
          <w:sz w:val="28"/>
          <w:szCs w:val="28"/>
        </w:rPr>
      </w:pPr>
      <w:r>
        <w:t>1. рассчитать величину нормативов достаточности собственного капитала банка (Н1.1, Н1.2 и Н1.0), оценить их значения и изменение во времени, а также определить соблюдение обязательств по поддержанию требуемых надбавок к нормативам достаточности капитала;</w:t>
      </w:r>
    </w:p>
    <w:p w:rsidR="00ED6AA4" w:rsidRDefault="00CE4BA7">
      <w:pPr>
        <w:spacing w:after="120"/>
        <w:ind w:firstLine="708"/>
        <w:jc w:val="both"/>
        <w:rPr>
          <w:color w:val="00B050"/>
          <w:sz w:val="28"/>
          <w:szCs w:val="28"/>
        </w:rPr>
      </w:pPr>
      <w:r>
        <w:t>2. рассчитать и оценить показатель иммобилизации капитала банка, а также темпы прироста активов, кредитного портфеля банка и регуляторного капитала банка;</w:t>
      </w:r>
    </w:p>
    <w:p w:rsidR="00ED6AA4" w:rsidRDefault="00CE4BA7">
      <w:pPr>
        <w:spacing w:after="120"/>
        <w:ind w:firstLine="708"/>
        <w:jc w:val="both"/>
        <w:rPr>
          <w:color w:val="00B050"/>
          <w:sz w:val="28"/>
          <w:szCs w:val="28"/>
        </w:rPr>
      </w:pPr>
      <w:r>
        <w:t xml:space="preserve">3. проанализировать и оценить источники прироста собственного (регуляторного) капитала банка; </w:t>
      </w:r>
    </w:p>
    <w:p w:rsidR="00ED6AA4" w:rsidRDefault="00CE4BA7">
      <w:pPr>
        <w:spacing w:after="120"/>
        <w:ind w:firstLine="709"/>
        <w:rPr>
          <w:iCs/>
        </w:rPr>
        <w:sectPr w:rsidR="00ED6AA4">
          <w:headerReference w:type="default" r:id="rId20"/>
          <w:footerReference w:type="default" r:id="rId21"/>
          <w:pgSz w:w="11906" w:h="16838"/>
          <w:pgMar w:top="851" w:right="850" w:bottom="993" w:left="993" w:header="708" w:footer="708" w:gutter="0"/>
          <w:cols w:space="720"/>
          <w:formProt w:val="0"/>
          <w:docGrid w:linePitch="360"/>
        </w:sectPr>
      </w:pPr>
      <w:r>
        <w:t>4. написать выводы о качестве собственного капитала банка по результатам проведенного анализа.</w:t>
      </w:r>
    </w:p>
    <w:p w:rsidR="00ED6AA4" w:rsidRDefault="00CE4BA7">
      <w:pPr>
        <w:ind w:firstLine="709"/>
        <w:rPr>
          <w:iCs/>
        </w:rPr>
      </w:pPr>
      <w:r>
        <w:rPr>
          <w:iCs/>
        </w:rPr>
        <w:lastRenderedPageBreak/>
        <w:t>Таблица 1 – Структура собственного капитала банка на 31.12 года, млрд руб.</w:t>
      </w:r>
    </w:p>
    <w:tbl>
      <w:tblPr>
        <w:tblW w:w="13844" w:type="dxa"/>
        <w:tblLayout w:type="fixed"/>
        <w:tblLook w:val="04A0" w:firstRow="1" w:lastRow="0" w:firstColumn="1" w:lastColumn="0" w:noHBand="0" w:noVBand="1"/>
      </w:tblPr>
      <w:tblGrid>
        <w:gridCol w:w="366"/>
        <w:gridCol w:w="285"/>
        <w:gridCol w:w="281"/>
        <w:gridCol w:w="497"/>
        <w:gridCol w:w="6304"/>
        <w:gridCol w:w="1194"/>
        <w:gridCol w:w="1196"/>
        <w:gridCol w:w="1196"/>
        <w:gridCol w:w="1195"/>
        <w:gridCol w:w="1330"/>
      </w:tblGrid>
      <w:tr w:rsidR="00ED6AA4">
        <w:trPr>
          <w:trHeight w:val="345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1" w:type="dxa"/>
            <w:gridSpan w:val="3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Элемент собственного капитала</w:t>
            </w:r>
          </w:p>
        </w:tc>
        <w:tc>
          <w:tcPr>
            <w:tcW w:w="1194" w:type="dxa"/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95" w:type="dxa"/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330" w:type="dxa"/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</w:tr>
      <w:tr w:rsidR="00ED6AA4">
        <w:trPr>
          <w:trHeight w:val="330"/>
        </w:trPr>
        <w:tc>
          <w:tcPr>
            <w:tcW w:w="365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7366" w:type="dxa"/>
            <w:gridSpan w:val="4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капитал (I уровня) = Базовый + Добавочный</w:t>
            </w:r>
          </w:p>
        </w:tc>
        <w:tc>
          <w:tcPr>
            <w:tcW w:w="1194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</w:t>
            </w:r>
          </w:p>
        </w:tc>
        <w:tc>
          <w:tcPr>
            <w:tcW w:w="1196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196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195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85,4</w:t>
            </w:r>
          </w:p>
        </w:tc>
        <w:tc>
          <w:tcPr>
            <w:tcW w:w="1330" w:type="dxa"/>
            <w:tcBorders>
              <w:top w:val="single" w:sz="8" w:space="0" w:color="808080"/>
            </w:tcBorders>
            <w:shd w:val="clear" w:color="000000" w:fill="FDE9D9"/>
          </w:tcPr>
          <w:p w:rsidR="00ED6AA4" w:rsidRDefault="00CE4B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CE4BA7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1" w:type="dxa"/>
            <w:gridSpan w:val="3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Базовый капитал</w:t>
            </w:r>
          </w:p>
        </w:tc>
        <w:tc>
          <w:tcPr>
            <w:tcW w:w="1194" w:type="dxa"/>
            <w:shd w:val="clear" w:color="000000" w:fill="FFFFFF"/>
          </w:tcPr>
          <w:p w:rsidR="00ED6AA4" w:rsidRDefault="00CE4B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25,9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47,1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48,8</w:t>
            </w:r>
          </w:p>
        </w:tc>
        <w:tc>
          <w:tcPr>
            <w:tcW w:w="1195" w:type="dxa"/>
            <w:shd w:val="clear" w:color="000000" w:fill="FFFFFF"/>
          </w:tcPr>
          <w:p w:rsidR="00ED6AA4" w:rsidRDefault="00CE4B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61,6</w:t>
            </w:r>
          </w:p>
        </w:tc>
        <w:tc>
          <w:tcPr>
            <w:tcW w:w="1330" w:type="dxa"/>
            <w:shd w:val="clear" w:color="000000" w:fill="FFFFFF"/>
          </w:tcPr>
          <w:p w:rsidR="00ED6AA4" w:rsidRDefault="00CE4B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Уставный капитал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8,7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14,3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14,3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16,2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16,2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обыкновенные акции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8,7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14,3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14,3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16,2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16,2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привилегированные акции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доли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Эмиссионный доход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5,9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21,0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21,0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27,7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27,7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Резервный фонд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Нераспределенная прибыль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8,9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11,5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19,5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i/>
                <w:iCs/>
                <w:sz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прошлых лет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5,8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9,6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9,7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11,2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17,6</w:t>
            </w:r>
          </w:p>
        </w:tc>
      </w:tr>
      <w:tr w:rsidR="00ED6AA4">
        <w:trPr>
          <w:trHeight w:val="215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i/>
                <w:iCs/>
                <w:sz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отчетного года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1,8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4,0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1,9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i/>
                <w:iCs/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Вычитаются: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НМА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(0,1)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(0,2)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(0,2)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Отрицательная величина добавочного капитала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(0,2)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(0,5)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(0,6)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Сумма налога на прибыль, подлежащая возмещению в будущих периодах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Собственные акции, выкупленные у акционеров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(0,0)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Убытки предшествующих лет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Убыток текущего года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Инвестиции в капитал финансовых организаций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b/>
                <w:bCs/>
                <w:i/>
                <w:iCs/>
                <w:color w:val="FF0000"/>
                <w:sz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несущественные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b/>
                <w:bCs/>
                <w:i/>
                <w:iCs/>
                <w:color w:val="FF0000"/>
                <w:sz w:val="20"/>
              </w:rPr>
            </w:pPr>
          </w:p>
        </w:tc>
        <w:tc>
          <w:tcPr>
            <w:tcW w:w="497" w:type="dxa"/>
            <w:shd w:val="clear" w:color="000000" w:fill="F2F2F2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-</w:t>
            </w: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существенные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CE4BA7">
            <w:pPr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1" w:type="dxa"/>
            <w:gridSpan w:val="3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Добавочный капитал</w:t>
            </w:r>
          </w:p>
        </w:tc>
        <w:tc>
          <w:tcPr>
            <w:tcW w:w="1194" w:type="dxa"/>
            <w:shd w:val="clear" w:color="000000" w:fill="FFFFFF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FFFFFF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23,8</w:t>
            </w:r>
          </w:p>
        </w:tc>
        <w:tc>
          <w:tcPr>
            <w:tcW w:w="1330" w:type="dxa"/>
            <w:shd w:val="clear" w:color="000000" w:fill="FFFFFF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Привилегированные акции особого типа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Эмиссионный доход от выпуска вышеуказанных привилегированных акций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Субординированный заем с дополнительными условиями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Субординированный кредит без ограничения срока привлечения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Вычитаются: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Вложения в собственные привилегированные акции особого типа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привилегированные акции финансовых организаций (относящиеся к этому разделу)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Предоставленные субординированные кредиты и займы на условиях выше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 банка по приобретению включенных в этот раздел источников собственного капитала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Отрицательная величина дополнительного капитала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(0,2)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(0,5)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(0,6)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DE9D9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7366" w:type="dxa"/>
            <w:gridSpan w:val="4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Дополнительный капитал (II уровня)</w:t>
            </w:r>
          </w:p>
        </w:tc>
        <w:tc>
          <w:tcPr>
            <w:tcW w:w="1194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</w:t>
            </w:r>
          </w:p>
        </w:tc>
        <w:tc>
          <w:tcPr>
            <w:tcW w:w="1196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45,7</w:t>
            </w:r>
          </w:p>
        </w:tc>
        <w:tc>
          <w:tcPr>
            <w:tcW w:w="1196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35,9</w:t>
            </w:r>
          </w:p>
        </w:tc>
        <w:tc>
          <w:tcPr>
            <w:tcW w:w="1195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65,9</w:t>
            </w:r>
          </w:p>
        </w:tc>
        <w:tc>
          <w:tcPr>
            <w:tcW w:w="1330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69,3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Привилегированые акции (до 1 марта 2013), кроме указанных выше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Привилегированые акции (после 1 марта 2013), кроме указанных выше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УК, сформированного за счет капитализации стоимости имущества при переоценке до его выбытия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Эмисионный доход от выпуска привилегированных акций данного раздела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за счет прибыли текущего  или прошлого года до подтверждения аудитором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Субординированный кредит (остаточная стоимость в последние 5 лет)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60,4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EEECE1"/>
          </w:tcPr>
          <w:p w:rsidR="00ED6AA4" w:rsidRDefault="00ED6AA4">
            <w:pPr>
              <w:rPr>
                <w:sz w:val="20"/>
                <w:szCs w:val="20"/>
              </w:rPr>
            </w:pP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субординированный кредит (депозит, заем, облигационный заем) на срок не менее 50 лет, от резидента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EEECE1"/>
          </w:tcPr>
          <w:p w:rsidR="00ED6AA4" w:rsidRDefault="00ED6AA4">
            <w:pPr>
              <w:rPr>
                <w:sz w:val="20"/>
                <w:szCs w:val="20"/>
              </w:rPr>
            </w:pP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субординированные кредиты, привлеченные до 1 марта 2013 года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1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1"/>
              <w:rPr>
                <w:color w:val="000000"/>
                <w:sz w:val="20"/>
                <w:szCs w:val="20"/>
              </w:rPr>
            </w:pPr>
          </w:p>
        </w:tc>
        <w:tc>
          <w:tcPr>
            <w:tcW w:w="497" w:type="dxa"/>
            <w:shd w:val="clear" w:color="000000" w:fill="EEECE1"/>
          </w:tcPr>
          <w:p w:rsidR="00ED6AA4" w:rsidRDefault="00ED6AA4">
            <w:pPr>
              <w:rPr>
                <w:sz w:val="20"/>
                <w:szCs w:val="20"/>
              </w:rPr>
            </w:pPr>
          </w:p>
        </w:tc>
        <w:tc>
          <w:tcPr>
            <w:tcW w:w="6303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субординированные кредиты, предоставленные в соответствии с  Законом N 173-ФЗ и Законом N 175-ФЗ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текущего года, не подтвержденная аудитором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предшествующих лет, не подтвержденная аудитором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Прирост стоимости имущества за счет переоценки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outlineLvl w:val="0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800" w:type="dxa"/>
            <w:gridSpan w:val="2"/>
            <w:shd w:val="clear" w:color="000000" w:fill="F2F2F2"/>
          </w:tcPr>
          <w:p w:rsidR="00ED6AA4" w:rsidRDefault="00CE4BA7">
            <w:pPr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Вычитаются: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FFFFF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285" w:type="dxa"/>
            <w:shd w:val="clear" w:color="000000" w:fill="FFFFFF"/>
          </w:tcPr>
          <w:p w:rsidR="00ED6AA4" w:rsidRDefault="00ED6AA4">
            <w:pPr>
              <w:rPr>
                <w:sz w:val="20"/>
              </w:rPr>
            </w:pPr>
          </w:p>
        </w:tc>
        <w:tc>
          <w:tcPr>
            <w:tcW w:w="281" w:type="dxa"/>
            <w:shd w:val="clear" w:color="000000" w:fill="EEECE1"/>
          </w:tcPr>
          <w:p w:rsidR="00ED6AA4" w:rsidRDefault="00CE4BA7">
            <w:pPr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-</w:t>
            </w:r>
          </w:p>
        </w:tc>
        <w:tc>
          <w:tcPr>
            <w:tcW w:w="6800" w:type="dxa"/>
            <w:gridSpan w:val="2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Предоставленные субординированные кредиты и займы на условиях выше</w:t>
            </w:r>
          </w:p>
        </w:tc>
        <w:tc>
          <w:tcPr>
            <w:tcW w:w="1194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96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95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(0,0)</w:t>
            </w:r>
          </w:p>
        </w:tc>
        <w:tc>
          <w:tcPr>
            <w:tcW w:w="1330" w:type="dxa"/>
            <w:shd w:val="clear" w:color="000000" w:fill="EEECE1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(0,3)</w:t>
            </w:r>
          </w:p>
        </w:tc>
      </w:tr>
      <w:tr w:rsidR="00ED6AA4">
        <w:trPr>
          <w:trHeight w:val="330"/>
        </w:trPr>
        <w:tc>
          <w:tcPr>
            <w:tcW w:w="365" w:type="dxa"/>
            <w:shd w:val="clear" w:color="000000" w:fill="FDE9D9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7366" w:type="dxa"/>
            <w:gridSpan w:val="4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Показатели, определенные в соответствии с пунктом 4 Положения N 646-П</w:t>
            </w:r>
          </w:p>
        </w:tc>
        <w:tc>
          <w:tcPr>
            <w:tcW w:w="1194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5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30" w:type="dxa"/>
            <w:shd w:val="clear" w:color="000000" w:fill="FDE9D9"/>
          </w:tcPr>
          <w:p w:rsidR="00ED6AA4" w:rsidRDefault="00CE4B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65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ED6A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ED6A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1" w:type="dxa"/>
            <w:gridSpan w:val="3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Собственный капитал (Базель III), итого</w:t>
            </w:r>
          </w:p>
        </w:tc>
        <w:tc>
          <w:tcPr>
            <w:tcW w:w="1194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48,6</w:t>
            </w:r>
          </w:p>
        </w:tc>
        <w:tc>
          <w:tcPr>
            <w:tcW w:w="1196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92,7</w:t>
            </w:r>
          </w:p>
        </w:tc>
        <w:tc>
          <w:tcPr>
            <w:tcW w:w="1196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84,7</w:t>
            </w:r>
          </w:p>
        </w:tc>
        <w:tc>
          <w:tcPr>
            <w:tcW w:w="1195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151,3</w:t>
            </w:r>
          </w:p>
        </w:tc>
        <w:tc>
          <w:tcPr>
            <w:tcW w:w="1330" w:type="dxa"/>
            <w:tcBorders>
              <w:top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163,3</w:t>
            </w:r>
          </w:p>
        </w:tc>
      </w:tr>
    </w:tbl>
    <w:p w:rsidR="00ED6AA4" w:rsidRDefault="00ED6AA4">
      <w:pPr>
        <w:pStyle w:val="aff2"/>
        <w:jc w:val="both"/>
        <w:rPr>
          <w:iCs/>
        </w:rPr>
      </w:pPr>
    </w:p>
    <w:p w:rsidR="00ED6AA4" w:rsidRDefault="00ED6AA4">
      <w:pPr>
        <w:pStyle w:val="aff2"/>
        <w:jc w:val="both"/>
        <w:rPr>
          <w:iCs/>
        </w:rPr>
      </w:pPr>
    </w:p>
    <w:p w:rsidR="00ED6AA4" w:rsidRDefault="00ED6AA4">
      <w:pPr>
        <w:pStyle w:val="aff2"/>
        <w:jc w:val="both"/>
        <w:rPr>
          <w:iCs/>
        </w:rPr>
        <w:sectPr w:rsidR="00ED6AA4">
          <w:headerReference w:type="default" r:id="rId22"/>
          <w:footerReference w:type="default" r:id="rId23"/>
          <w:pgSz w:w="16838" w:h="11906" w:orient="landscape"/>
          <w:pgMar w:top="993" w:right="851" w:bottom="850" w:left="993" w:header="708" w:footer="708" w:gutter="0"/>
          <w:cols w:space="720"/>
          <w:formProt w:val="0"/>
          <w:docGrid w:linePitch="360"/>
        </w:sectPr>
      </w:pPr>
    </w:p>
    <w:p w:rsidR="00ED6AA4" w:rsidRDefault="00ED6AA4">
      <w:pPr>
        <w:rPr>
          <w:iCs/>
        </w:rPr>
      </w:pPr>
    </w:p>
    <w:p w:rsidR="00ED6AA4" w:rsidRDefault="00CE4BA7">
      <w:pPr>
        <w:ind w:firstLine="709"/>
        <w:rPr>
          <w:iCs/>
        </w:rPr>
      </w:pPr>
      <w:r>
        <w:rPr>
          <w:iCs/>
        </w:rPr>
        <w:t>Таблица 2 – Дополнительные показатели баланса банка, его доходов и расходов, млрд руб. на 31.12 года</w:t>
      </w:r>
    </w:p>
    <w:tbl>
      <w:tblPr>
        <w:tblW w:w="9948" w:type="dxa"/>
        <w:tblLayout w:type="fixed"/>
        <w:tblLook w:val="04A0" w:firstRow="1" w:lastRow="0" w:firstColumn="1" w:lastColumn="0" w:noHBand="0" w:noVBand="1"/>
      </w:tblPr>
      <w:tblGrid>
        <w:gridCol w:w="3827"/>
        <w:gridCol w:w="1197"/>
        <w:gridCol w:w="1198"/>
        <w:gridCol w:w="1197"/>
        <w:gridCol w:w="1193"/>
        <w:gridCol w:w="1336"/>
      </w:tblGrid>
      <w:tr w:rsidR="00ED6AA4">
        <w:trPr>
          <w:trHeight w:val="345"/>
        </w:trPr>
        <w:tc>
          <w:tcPr>
            <w:tcW w:w="3826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млрд руб.</w:t>
            </w:r>
          </w:p>
        </w:tc>
        <w:tc>
          <w:tcPr>
            <w:tcW w:w="1197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1198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1197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193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1336" w:type="dxa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iCs/>
              </w:rPr>
            </w:pPr>
            <w:r>
              <w:t>Собственный капитал (бухгалтерский)</w:t>
            </w:r>
          </w:p>
        </w:tc>
        <w:tc>
          <w:tcPr>
            <w:tcW w:w="1197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iCs/>
              </w:rPr>
            </w:pPr>
            <w:r>
              <w:t>26,6</w:t>
            </w:r>
          </w:p>
        </w:tc>
        <w:tc>
          <w:tcPr>
            <w:tcW w:w="1198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iCs/>
              </w:rPr>
            </w:pPr>
            <w:r>
              <w:t>47,7</w:t>
            </w:r>
          </w:p>
        </w:tc>
        <w:tc>
          <w:tcPr>
            <w:tcW w:w="1197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iCs/>
              </w:rPr>
            </w:pPr>
            <w:r>
              <w:t>50,1</w:t>
            </w:r>
          </w:p>
        </w:tc>
        <w:tc>
          <w:tcPr>
            <w:tcW w:w="1193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iCs/>
              </w:rPr>
            </w:pPr>
            <w:r>
              <w:t>64,9</w:t>
            </w:r>
          </w:p>
        </w:tc>
        <w:tc>
          <w:tcPr>
            <w:tcW w:w="1336" w:type="dxa"/>
            <w:tcBorders>
              <w:top w:val="single" w:sz="8" w:space="0" w:color="80808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iCs/>
              </w:rPr>
            </w:pPr>
            <w:r>
              <w:t>71,4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Активы балансовые, всего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343,1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711,6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829,6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1 097,9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1 281,7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Активы, взвешенные по риску (совокупный риск банка)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342,0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574,3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671,5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747,9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812,4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Кредиты клиентам (брутто)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243,7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508,6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664,4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958,7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1 107,7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Внеоборотные активы и запасы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(4,3)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(4,1)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(4,3)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(4,6)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(4,5)</w:t>
            </w:r>
          </w:p>
        </w:tc>
      </w:tr>
      <w:tr w:rsidR="00ED6AA4">
        <w:trPr>
          <w:trHeight w:val="345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Просроченная задолженность за минусом РВПС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Дивиденды уплаченные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Прибыль до налогообложения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9,2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Прибыль после налогообложения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6,4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EBF1DE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Нестабильные/ нерегулярные доходы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8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(0,1)</w:t>
            </w:r>
          </w:p>
        </w:tc>
        <w:tc>
          <w:tcPr>
            <w:tcW w:w="1193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36" w:type="dxa"/>
            <w:tcBorders>
              <w:top w:val="dotted" w:sz="4" w:space="0" w:color="000000"/>
              <w:bottom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(0,7)</w:t>
            </w:r>
          </w:p>
        </w:tc>
      </w:tr>
      <w:tr w:rsidR="00ED6AA4">
        <w:trPr>
          <w:trHeight w:val="330"/>
        </w:trPr>
        <w:tc>
          <w:tcPr>
            <w:tcW w:w="3826" w:type="dxa"/>
            <w:tcBorders>
              <w:top w:val="dotted" w:sz="4" w:space="0" w:color="000000"/>
            </w:tcBorders>
            <w:shd w:val="clear" w:color="000000" w:fill="FFFFFF"/>
          </w:tcPr>
          <w:p w:rsidR="00ED6AA4" w:rsidRDefault="00CE4BA7">
            <w:pPr>
              <w:rPr>
                <w:color w:val="000000"/>
              </w:rPr>
            </w:pPr>
            <w:r>
              <w:rPr>
                <w:color w:val="000000"/>
              </w:rPr>
              <w:t>Чистый выкуп акций</w:t>
            </w:r>
          </w:p>
        </w:tc>
        <w:tc>
          <w:tcPr>
            <w:tcW w:w="1197" w:type="dxa"/>
            <w:tcBorders>
              <w:top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8" w:type="dxa"/>
            <w:tcBorders>
              <w:top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7" w:type="dxa"/>
            <w:tcBorders>
              <w:top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93" w:type="dxa"/>
            <w:tcBorders>
              <w:top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36" w:type="dxa"/>
            <w:tcBorders>
              <w:top w:val="dotted" w:sz="4" w:space="0" w:color="00000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D6AA4" w:rsidRDefault="00ED6AA4">
      <w:pPr>
        <w:ind w:firstLine="709"/>
        <w:rPr>
          <w:iCs/>
        </w:rPr>
      </w:pPr>
    </w:p>
    <w:p w:rsidR="00ED6AA4" w:rsidRDefault="00CE4BA7">
      <w:pPr>
        <w:ind w:firstLine="709"/>
        <w:rPr>
          <w:iCs/>
        </w:rPr>
      </w:pPr>
      <w:r>
        <w:rPr>
          <w:iCs/>
        </w:rPr>
        <w:t>Таблица 3 – Источники прироста капитала банка, млрд руб. на 31.12 года</w:t>
      </w:r>
    </w:p>
    <w:tbl>
      <w:tblPr>
        <w:tblW w:w="942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2"/>
        <w:gridCol w:w="4223"/>
        <w:gridCol w:w="1194"/>
        <w:gridCol w:w="1196"/>
        <w:gridCol w:w="1199"/>
        <w:gridCol w:w="1333"/>
      </w:tblGrid>
      <w:tr w:rsidR="00ED6AA4">
        <w:trPr>
          <w:trHeight w:val="345"/>
        </w:trPr>
        <w:tc>
          <w:tcPr>
            <w:tcW w:w="4504" w:type="dxa"/>
            <w:gridSpan w:val="2"/>
            <w:tcBorders>
              <w:bottom w:val="single" w:sz="8" w:space="0" w:color="808080"/>
            </w:tcBorders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млрд руб.</w:t>
            </w:r>
          </w:p>
        </w:tc>
        <w:tc>
          <w:tcPr>
            <w:tcW w:w="1194" w:type="dxa"/>
            <w:tcBorders>
              <w:bottom w:val="single" w:sz="8" w:space="0" w:color="80808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96" w:type="dxa"/>
            <w:tcBorders>
              <w:bottom w:val="single" w:sz="8" w:space="0" w:color="80808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99" w:type="dxa"/>
            <w:tcBorders>
              <w:bottom w:val="single" w:sz="8" w:space="0" w:color="80808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333" w:type="dxa"/>
            <w:tcBorders>
              <w:bottom w:val="single" w:sz="8" w:space="0" w:color="808080"/>
            </w:tcBorders>
            <w:shd w:val="clear" w:color="000000" w:fill="FFFFFF"/>
            <w:vAlign w:val="bottom"/>
          </w:tcPr>
          <w:p w:rsidR="00ED6AA4" w:rsidRDefault="00CE4BA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2020</w:t>
            </w:r>
          </w:p>
        </w:tc>
      </w:tr>
      <w:tr w:rsidR="00ED6AA4">
        <w:trPr>
          <w:trHeight w:val="330"/>
        </w:trPr>
        <w:tc>
          <w:tcPr>
            <w:tcW w:w="4504" w:type="dxa"/>
            <w:gridSpan w:val="2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Внутренние источники</w:t>
            </w:r>
          </w:p>
        </w:tc>
        <w:tc>
          <w:tcPr>
            <w:tcW w:w="1194" w:type="dxa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96" w:type="dxa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99" w:type="dxa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333" w:type="dxa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Нераспределенная прибыль+ резервный капитал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</w:tr>
      <w:tr w:rsidR="00ED6AA4">
        <w:trPr>
          <w:trHeight w:val="138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auto" w:fill="auto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Непокрытые убытки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4504" w:type="dxa"/>
            <w:gridSpan w:val="2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Внешние источники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-9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Обыкновенные акции/ доли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15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Эмиссионный доход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Привилегированные акции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Субординированные обязательства (кроме 173-ФЗ и 175-ФЗ)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-9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Субординированные обязательства (173-ФЗ и 175-ФЗ)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4504" w:type="dxa"/>
            <w:gridSpan w:val="2"/>
            <w:shd w:val="clear" w:color="000000" w:fill="FFFFFF"/>
          </w:tcPr>
          <w:p w:rsidR="00ED6AA4" w:rsidRDefault="00CE4BA7">
            <w:pPr>
              <w:rPr>
                <w:sz w:val="20"/>
              </w:rPr>
            </w:pPr>
            <w:r>
              <w:rPr>
                <w:sz w:val="20"/>
              </w:rPr>
              <w:t>Прочие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-1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Вложения в акции ДЗО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Предоставленные субординированные кредиты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Прочее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-1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D6AA4">
        <w:trPr>
          <w:trHeight w:val="330"/>
        </w:trPr>
        <w:tc>
          <w:tcPr>
            <w:tcW w:w="281" w:type="dxa"/>
            <w:shd w:val="clear" w:color="000000" w:fill="FFFFFF"/>
          </w:tcPr>
          <w:p w:rsidR="00ED6AA4" w:rsidRDefault="00ED6AA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23" w:type="dxa"/>
            <w:shd w:val="clear" w:color="000000" w:fill="FFFFFF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Итого прирост</w:t>
            </w:r>
          </w:p>
        </w:tc>
        <w:tc>
          <w:tcPr>
            <w:tcW w:w="1194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44</w:t>
            </w:r>
          </w:p>
        </w:tc>
        <w:tc>
          <w:tcPr>
            <w:tcW w:w="1196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-8</w:t>
            </w:r>
          </w:p>
        </w:tc>
        <w:tc>
          <w:tcPr>
            <w:tcW w:w="1199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67</w:t>
            </w:r>
          </w:p>
        </w:tc>
        <w:tc>
          <w:tcPr>
            <w:tcW w:w="1333" w:type="dxa"/>
            <w:shd w:val="clear" w:color="000000" w:fill="FFFFFF"/>
            <w:vAlign w:val="bottom"/>
          </w:tcPr>
          <w:p w:rsidR="00ED6AA4" w:rsidRDefault="00CE4BA7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</w:tr>
    </w:tbl>
    <w:p w:rsidR="00ED6AA4" w:rsidRDefault="00ED6AA4">
      <w:pPr>
        <w:ind w:firstLine="709"/>
        <w:rPr>
          <w:iCs/>
        </w:rPr>
      </w:pPr>
    </w:p>
    <w:p w:rsidR="00ED6AA4" w:rsidRDefault="00ED6AA4">
      <w:pPr>
        <w:spacing w:line="360" w:lineRule="auto"/>
        <w:ind w:firstLine="709"/>
        <w:jc w:val="both"/>
        <w:rPr>
          <w:sz w:val="28"/>
          <w:szCs w:val="28"/>
        </w:rPr>
        <w:sectPr w:rsidR="00ED6AA4">
          <w:headerReference w:type="default" r:id="rId24"/>
          <w:footerReference w:type="default" r:id="rId25"/>
          <w:pgSz w:w="11906" w:h="16838"/>
          <w:pgMar w:top="1134" w:right="850" w:bottom="1134" w:left="1701" w:header="708" w:footer="708" w:gutter="0"/>
          <w:cols w:space="720"/>
          <w:formProt w:val="0"/>
          <w:docGrid w:linePitch="360"/>
        </w:sectPr>
      </w:pPr>
    </w:p>
    <w:p w:rsidR="00ED6AA4" w:rsidRDefault="00CE4BA7">
      <w:pPr>
        <w:pStyle w:val="1"/>
        <w:spacing w:before="0" w:after="120"/>
        <w:ind w:firstLine="709"/>
        <w:rPr>
          <w:b/>
          <w:bCs/>
          <w:color w:val="000000"/>
          <w:sz w:val="28"/>
          <w:szCs w:val="28"/>
        </w:rPr>
      </w:pPr>
      <w:bookmarkStart w:id="20" w:name="_Toc1582007421"/>
      <w:bookmarkStart w:id="21" w:name="_Toc164688776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0"/>
      <w:bookmarkEnd w:id="21"/>
    </w:p>
    <w:p w:rsidR="00ED6AA4" w:rsidRDefault="00CE4BA7">
      <w:pPr>
        <w:pStyle w:val="afc"/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04.07.2018 №646-П «О методике определения величины собственных средств (капитала) кредитных организаций ("Базель III")»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03.12.2015 г. № 510-П «О порядке расчета норматива краткосрочной ликвидности («Базель III») системно значимыми кредитными организациями»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30.05.2014г. №421-П «О порядке расчета показателя краткосрочной ликвидности (Базель III)»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Банка России от 29 ноября 2019 г. N 199-И «Об обязательных нормативах и надбавках к нормативам достаточности капитала банков с универсальной лицензией»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07.08.2017 г. № 4482-У «О форме и порядке раскрытия кредитной организацией (головной кредитной организацией банковской группы) информации о принимаемых рисках, процедурах их оценки, управления рисками и капиталом»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03.04.2017 г. № 4336-У «Об оценке экономического положения банков»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07.12.2015 №3883-У «О порядке проведения Банком России оценки качества систем управления рисками и капиталом, достаточности капитала кредитной организации и банковской группы»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Указание Банка России от 11.06.2014 г. № 3277-У «О методиках оценки финансовой устойчивости банка в целях признания ее достаточной для участия в системе страхования вкладов» (в действ. редакции).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Письмо Банка России от 09.03.2016г. №ИН-05-35/11 «О методиках и моделях, используемых Банком России при определении величины </w:t>
      </w:r>
      <w:r>
        <w:rPr>
          <w:sz w:val="28"/>
          <w:szCs w:val="28"/>
        </w:rPr>
        <w:lastRenderedPageBreak/>
        <w:t>национальной антициклической надбавки к нормативам достаточности собственных средств (капитала)».</w:t>
      </w:r>
    </w:p>
    <w:p w:rsidR="00ED6AA4" w:rsidRDefault="00CE4BA7">
      <w:pPr>
        <w:pStyle w:val="afc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Положение Банка России от 15.07.2020 N 729-П «О методике определения собственных средств (капитала) и обязательных нормативов, надбавок к нормативам достаточности капитала, числовых значениях обязательных нормативов и размерах (лимитах) открытых валютных позиций банковских групп» (в действ. редакции).</w:t>
      </w:r>
    </w:p>
    <w:p w:rsidR="00ED6AA4" w:rsidRDefault="00ED6AA4">
      <w:pPr>
        <w:spacing w:line="360" w:lineRule="auto"/>
        <w:ind w:left="720"/>
        <w:rPr>
          <w:b/>
          <w:sz w:val="28"/>
          <w:szCs w:val="28"/>
        </w:rPr>
      </w:pPr>
    </w:p>
    <w:p w:rsidR="00ED6AA4" w:rsidRDefault="00CE4BA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а) основная литература</w:t>
      </w:r>
    </w:p>
    <w:p w:rsidR="00ED6AA4" w:rsidRDefault="00CE4BA7">
      <w:pPr>
        <w:pStyle w:val="Style41"/>
        <w:widowControl/>
        <w:tabs>
          <w:tab w:val="left" w:pos="781"/>
        </w:tabs>
        <w:spacing w:line="360" w:lineRule="auto"/>
        <w:ind w:left="484" w:firstLine="0"/>
        <w:jc w:val="both"/>
      </w:pPr>
      <w:r>
        <w:rPr>
          <w:rStyle w:val="FontStyle73"/>
          <w:sz w:val="28"/>
          <w:szCs w:val="28"/>
        </w:rPr>
        <w:t>1. Валенцева, Н. И. Оценка финансовой устойчивости и перспектив деятельности кредитных организаций : учеб. для напр. магистратуры «Финансы и кредит» / Н. И. Валенцева, И. В. Ларионова, Д. А. Чичуленков ; Финуниверстет. — 2-е изд., перераб. и доп. —    Москва : КноРус, 2021. — 325 с. — (Магистратура). — ISBN 978-5-406-08861-6. — ЭБС BOOK.ru. — URL: https://book.ru/book/941534 (дата обращения: 01.03.2024). — Текст : электронный.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</w:pPr>
      <w:r>
        <w:rPr>
          <w:rStyle w:val="FontStyle73"/>
          <w:sz w:val="28"/>
          <w:szCs w:val="28"/>
        </w:rPr>
        <w:t xml:space="preserve">2. ерасимова, Е. Б. Анализ финансовой устойчивости банка : учеб.  для студентов вузов, обуч. по напр. подгот.  38.04.08 «Финансы и кредит» (квалиф. (степень) «магистр») / Е. Б. Герасимова. — Москва : ИНФРА-М, 2020. — 366 с. — (Высшее образование: Магистратура). — ISBN 978-5-16-014227-2. — ЭБС Znanium. — URL: https://znanium.com/catalog/product/1067793 (дата обращения: 01.03.2024).  — Текст : электронный. </w:t>
      </w:r>
    </w:p>
    <w:p w:rsidR="00ED6AA4" w:rsidRDefault="00ED6AA4">
      <w:pPr>
        <w:pStyle w:val="Style48"/>
        <w:widowControl/>
        <w:tabs>
          <w:tab w:val="left" w:pos="781"/>
        </w:tabs>
        <w:spacing w:line="360" w:lineRule="auto"/>
        <w:ind w:left="426" w:firstLine="0"/>
        <w:jc w:val="both"/>
        <w:rPr>
          <w:sz w:val="28"/>
          <w:szCs w:val="28"/>
        </w:rPr>
      </w:pP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дополнительная литература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Финансовые рынки в условиях цифровизации : монография / О. И. Лаврушин, А. В. Бердышев, С. В. Криворучко [и др.] ; под ред. К. В. Криничанского ; Финуниверситет. — Москва : Русайнс, 2020. — 371 с. — ISBN 978-5-4365-4643-8. — ЭБС BOOK.ru. — URL: </w:t>
      </w:r>
      <w:r>
        <w:rPr>
          <w:sz w:val="28"/>
          <w:szCs w:val="28"/>
        </w:rPr>
        <w:lastRenderedPageBreak/>
        <w:t>https://book.ru/book/935994 (дата обращения: 01.03.2024). — Текст : электронный.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  <w:rPr>
          <w:sz w:val="28"/>
          <w:szCs w:val="28"/>
        </w:rPr>
      </w:pPr>
      <w:r>
        <w:rPr>
          <w:sz w:val="28"/>
          <w:szCs w:val="28"/>
        </w:rPr>
        <w:t>4. Банковский менеджмент : учеб. для напр. бакалавриата «Экономика» и напр. магистратуры «Финансы и кредит»  / О. И. Лаврушин, Н. И. Валенцева, И. В. Ларионова [и др.] ; под ред. О. И. Лаврушина ; Финуниверситет. — 7-е изд., испр. и доп. — Москва : КноРус, 2023. — 503 с. — ISBN 978-5-406-11640-1. — ЭБС BOOK.RU. — URL: https://book.ru/book/949371 (дата обращения: 01.03.2024). — Текст : электронный.</w:t>
      </w:r>
    </w:p>
    <w:p w:rsidR="00ED6AA4" w:rsidRDefault="00CE4BA7">
      <w:pPr>
        <w:pStyle w:val="Style41"/>
        <w:widowControl/>
        <w:tabs>
          <w:tab w:val="left" w:pos="781"/>
        </w:tabs>
        <w:spacing w:line="360" w:lineRule="auto"/>
        <w:ind w:left="484" w:firstLine="0"/>
        <w:jc w:val="both"/>
      </w:pPr>
      <w:r>
        <w:rPr>
          <w:rStyle w:val="FontStyle73"/>
          <w:sz w:val="28"/>
          <w:szCs w:val="28"/>
        </w:rPr>
        <w:t>5. Маркова, В. Д. Цифровая экономика : учеб. для студентов вузов, обуч. по напр. подгот. 38.03.02 «Менеджмент», 38.03.01 «Экономика» (квалиф. (степень) «бакалавр») / В. Д. Маркова. — Москва : ИНФРА-М, 2024. — 186 с. — ISBN 978-5-16-019134-8. — ЭБС Znanium. —</w:t>
      </w:r>
      <w:r>
        <w:rPr>
          <w:sz w:val="28"/>
          <w:szCs w:val="28"/>
        </w:rPr>
        <w:t xml:space="preserve"> </w:t>
      </w:r>
      <w:r>
        <w:rPr>
          <w:rStyle w:val="FontStyle73"/>
          <w:sz w:val="28"/>
          <w:szCs w:val="28"/>
        </w:rPr>
        <w:t>URL: https://znanium.com/catalog/product/2082732 (дата обращения: 01.03.2024). — Текст : электронный.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</w:pPr>
      <w:r>
        <w:rPr>
          <w:sz w:val="28"/>
          <w:szCs w:val="28"/>
        </w:rPr>
        <w:t xml:space="preserve">6. Финансовая система: цифровой вызов : монография / А. Е. Абрамов, Е. Н. Алифанова, Е. Р. Безсмертная [и др.] ; Финуниверситет. — Москва : КноРус, 2022. — 230 с. — ISBN 978-5-406-09750-2.  </w:t>
      </w:r>
      <w:r>
        <w:rPr>
          <w:rStyle w:val="FontStyle73"/>
          <w:sz w:val="28"/>
          <w:szCs w:val="28"/>
        </w:rPr>
        <w:t xml:space="preserve">— ЭБС BOOK.ru. — </w:t>
      </w:r>
      <w:r>
        <w:rPr>
          <w:sz w:val="28"/>
          <w:szCs w:val="28"/>
        </w:rPr>
        <w:t xml:space="preserve">URL: https://book.ru/book/943662 (дата обращения: 01.03.2024). — Текст : электронный. 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</w:pPr>
      <w:r>
        <w:rPr>
          <w:sz w:val="28"/>
          <w:szCs w:val="28"/>
        </w:rPr>
        <w:t xml:space="preserve">7. Цифровой бизнес :  </w:t>
      </w:r>
      <w:r>
        <w:rPr>
          <w:rStyle w:val="FontStyle73"/>
          <w:sz w:val="28"/>
          <w:szCs w:val="28"/>
        </w:rPr>
        <w:t xml:space="preserve">учеб.  для студентов вузов, обуч. по напр. подгот.  38.04.01 «Экономика», 38.04.02 «Менеджмент» (квалиф. (степень) «магистр») </w:t>
      </w:r>
      <w:r>
        <w:rPr>
          <w:sz w:val="28"/>
          <w:szCs w:val="28"/>
        </w:rPr>
        <w:t xml:space="preserve">/ О. В. Китова, С. Н. Брускин, Л. П. Дьяконова [и др.] ; под науч. ред. О. В. Китовой. — Москва : ИНФРА-М, 2024. — 418 с.  </w:t>
      </w:r>
      <w:r>
        <w:rPr>
          <w:rStyle w:val="FontStyle73"/>
          <w:sz w:val="28"/>
          <w:szCs w:val="28"/>
        </w:rPr>
        <w:t xml:space="preserve">— </w:t>
      </w:r>
      <w:r>
        <w:rPr>
          <w:sz w:val="28"/>
          <w:szCs w:val="28"/>
        </w:rPr>
        <w:t xml:space="preserve">ISBN 978-5-16-013017-0. </w:t>
      </w:r>
      <w:r>
        <w:rPr>
          <w:rStyle w:val="FontStyle73"/>
          <w:sz w:val="28"/>
          <w:szCs w:val="28"/>
        </w:rPr>
        <w:t>— ЭБС Znanium. —</w:t>
      </w:r>
      <w:r>
        <w:rPr>
          <w:sz w:val="28"/>
          <w:szCs w:val="28"/>
        </w:rPr>
        <w:t xml:space="preserve"> URL: https://znanium.com/catalog/product/2119104 (дата обращения: 01.03.2024).  </w:t>
      </w:r>
      <w:r>
        <w:rPr>
          <w:rStyle w:val="FontStyle73"/>
          <w:sz w:val="28"/>
          <w:szCs w:val="28"/>
        </w:rPr>
        <w:t xml:space="preserve">— </w:t>
      </w:r>
      <w:r>
        <w:rPr>
          <w:sz w:val="28"/>
          <w:szCs w:val="28"/>
        </w:rPr>
        <w:t>Текст : электронный.</w:t>
      </w:r>
    </w:p>
    <w:p w:rsidR="00ED6AA4" w:rsidRDefault="00CE4BA7">
      <w:pPr>
        <w:pStyle w:val="Style48"/>
        <w:widowControl/>
        <w:tabs>
          <w:tab w:val="left" w:pos="355"/>
        </w:tabs>
        <w:spacing w:line="360" w:lineRule="auto"/>
        <w:ind w:left="484" w:firstLine="0"/>
        <w:jc w:val="both"/>
      </w:pPr>
      <w:r>
        <w:rPr>
          <w:rStyle w:val="FontStyle73"/>
          <w:sz w:val="28"/>
          <w:szCs w:val="28"/>
        </w:rPr>
        <w:t xml:space="preserve">8. Цифровизация финансовых рынков: новые компетенции : монография / И. А. Баздырев, Э. И. Гибадуллин, Д. Р. Дидигов [и др.] ; под ред. К. В. Криничанского, Б. Б. Рубцова ; Финуниверситет. — Москва : Русайнс, </w:t>
      </w:r>
      <w:r>
        <w:rPr>
          <w:rStyle w:val="FontStyle73"/>
          <w:sz w:val="28"/>
          <w:szCs w:val="28"/>
        </w:rPr>
        <w:lastRenderedPageBreak/>
        <w:t xml:space="preserve">2021. — 126 с. — ISBN 978-5-4365-7121-8. — ЭБС BOOK.ru. — URL: https://book.ru/book/940280 (дата обращения: 01.03.2024). — Текст : электронный. </w:t>
      </w:r>
    </w:p>
    <w:p w:rsidR="00ED6AA4" w:rsidRDefault="00CE4BA7">
      <w:pPr>
        <w:pStyle w:val="1"/>
        <w:spacing w:before="0" w:after="120"/>
        <w:ind w:firstLine="709"/>
        <w:rPr>
          <w:b/>
          <w:bCs/>
          <w:color w:val="000000"/>
          <w:sz w:val="28"/>
          <w:szCs w:val="28"/>
        </w:rPr>
      </w:pPr>
      <w:bookmarkStart w:id="22" w:name="_Toc1582007431"/>
      <w:bookmarkStart w:id="23" w:name="_Toc164688777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  <w:bookmarkEnd w:id="23"/>
    </w:p>
    <w:p w:rsidR="00ED6AA4" w:rsidRPr="00E94F7C" w:rsidRDefault="00CE4BA7">
      <w:pPr>
        <w:pStyle w:val="afc"/>
        <w:widowControl/>
        <w:spacing w:after="120" w:line="276" w:lineRule="auto"/>
        <w:ind w:left="720"/>
        <w:jc w:val="both"/>
        <w:rPr>
          <w:lang w:val="en-US"/>
        </w:rPr>
      </w:pPr>
      <w:r>
        <w:rPr>
          <w:sz w:val="28"/>
          <w:szCs w:val="28"/>
        </w:rPr>
        <w:t xml:space="preserve">1. Банк России. Раскрытие информации кредитными организациями. </w:t>
      </w:r>
      <w:r>
        <w:rPr>
          <w:sz w:val="28"/>
          <w:szCs w:val="28"/>
          <w:lang w:val="en-US"/>
        </w:rPr>
        <w:t xml:space="preserve">URL: </w:t>
      </w:r>
      <w:hyperlink r:id="rId26">
        <w:r>
          <w:rPr>
            <w:sz w:val="28"/>
            <w:szCs w:val="28"/>
            <w:lang w:val="en-US"/>
          </w:rPr>
          <w:t>http://www.cbr.ru/banking_sector/otchetnost-kreditnykh-organizaciy/transparent</w:t>
        </w:r>
      </w:hyperlink>
      <w:hyperlink r:id="rId27">
        <w:r>
          <w:rPr>
            <w:sz w:val="28"/>
            <w:szCs w:val="28"/>
            <w:lang w:val="en-US"/>
          </w:rPr>
          <w:t>/</w:t>
        </w:r>
      </w:hyperlink>
      <w:r>
        <w:rPr>
          <w:sz w:val="28"/>
          <w:szCs w:val="28"/>
          <w:lang w:val="en-US"/>
        </w:rPr>
        <w:t xml:space="preserve">. </w:t>
      </w:r>
    </w:p>
    <w:p w:rsidR="00ED6AA4" w:rsidRPr="00E94F7C" w:rsidRDefault="00CE4BA7">
      <w:pPr>
        <w:pStyle w:val="afc"/>
        <w:widowControl/>
        <w:spacing w:after="120" w:line="276" w:lineRule="auto"/>
        <w:ind w:left="720"/>
        <w:jc w:val="both"/>
        <w:rPr>
          <w:lang w:val="en-US"/>
        </w:rPr>
      </w:pPr>
      <w:r>
        <w:rPr>
          <w:sz w:val="28"/>
          <w:szCs w:val="28"/>
        </w:rPr>
        <w:t xml:space="preserve">2. Портал арбитражных дел «Электронное правосудие». </w:t>
      </w:r>
      <w:r>
        <w:rPr>
          <w:sz w:val="28"/>
          <w:szCs w:val="28"/>
          <w:lang w:val="en-US"/>
        </w:rPr>
        <w:t xml:space="preserve">URL: </w:t>
      </w:r>
      <w:hyperlink r:id="rId28">
        <w:r>
          <w:rPr>
            <w:sz w:val="28"/>
            <w:szCs w:val="28"/>
            <w:lang w:val="en-US"/>
          </w:rPr>
          <w:t>https://kad.arbitr.ru/</w:t>
        </w:r>
      </w:hyperlink>
      <w:r>
        <w:rPr>
          <w:sz w:val="28"/>
          <w:szCs w:val="28"/>
          <w:lang w:val="en-US"/>
        </w:rPr>
        <w:t>.</w:t>
      </w:r>
    </w:p>
    <w:p w:rsidR="00ED6AA4" w:rsidRDefault="00CE4BA7">
      <w:pPr>
        <w:pStyle w:val="afc"/>
        <w:spacing w:after="120" w:line="276" w:lineRule="auto"/>
        <w:ind w:left="720"/>
        <w:jc w:val="both"/>
      </w:pPr>
      <w:r>
        <w:rPr>
          <w:bCs/>
          <w:sz w:val="28"/>
          <w:szCs w:val="28"/>
        </w:rPr>
        <w:t xml:space="preserve">3.     Портал банковского аналитика. </w:t>
      </w:r>
      <w:r>
        <w:rPr>
          <w:bCs/>
          <w:sz w:val="28"/>
          <w:szCs w:val="28"/>
          <w:lang w:val="en-US"/>
        </w:rPr>
        <w:t>URL</w:t>
      </w:r>
      <w:r>
        <w:rPr>
          <w:bCs/>
          <w:sz w:val="28"/>
          <w:szCs w:val="28"/>
        </w:rPr>
        <w:t xml:space="preserve">: </w:t>
      </w:r>
      <w:hyperlink r:id="rId29">
        <w:r>
          <w:rPr>
            <w:bCs/>
            <w:sz w:val="28"/>
            <w:szCs w:val="28"/>
            <w:lang w:val="en-US"/>
          </w:rPr>
          <w:t>https</w:t>
        </w:r>
        <w:r>
          <w:rPr>
            <w:bCs/>
            <w:sz w:val="28"/>
            <w:szCs w:val="28"/>
          </w:rPr>
          <w:t>://</w:t>
        </w:r>
      </w:hyperlink>
      <w:hyperlink r:id="rId30">
        <w:r>
          <w:rPr>
            <w:bCs/>
            <w:sz w:val="28"/>
            <w:szCs w:val="28"/>
            <w:lang w:val="en-US"/>
          </w:rPr>
          <w:t>analizbankov</w:t>
        </w:r>
      </w:hyperlink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bank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php</w:t>
      </w:r>
    </w:p>
    <w:p w:rsidR="00ED6AA4" w:rsidRPr="00E94F7C" w:rsidRDefault="00CE4BA7">
      <w:pPr>
        <w:pStyle w:val="afc"/>
        <w:widowControl/>
        <w:spacing w:after="120" w:line="276" w:lineRule="auto"/>
        <w:ind w:left="720"/>
        <w:jc w:val="both"/>
        <w:rPr>
          <w:lang w:val="en-US"/>
        </w:rPr>
      </w:pPr>
      <w:r>
        <w:rPr>
          <w:sz w:val="28"/>
          <w:szCs w:val="28"/>
        </w:rPr>
        <w:t xml:space="preserve">4.   Центр раскрытия корпоративной информации Интерфакс. </w:t>
      </w:r>
      <w:r>
        <w:rPr>
          <w:sz w:val="28"/>
          <w:szCs w:val="28"/>
          <w:lang w:val="en-US"/>
        </w:rPr>
        <w:t xml:space="preserve">URL: </w:t>
      </w:r>
      <w:hyperlink r:id="rId31">
        <w:r>
          <w:rPr>
            <w:sz w:val="28"/>
            <w:szCs w:val="28"/>
            <w:lang w:val="en-US"/>
          </w:rPr>
          <w:t>https://e-disclosure.ru/?attempt=1</w:t>
        </w:r>
      </w:hyperlink>
      <w:r>
        <w:rPr>
          <w:sz w:val="28"/>
          <w:szCs w:val="28"/>
          <w:lang w:val="en-US"/>
        </w:rPr>
        <w:t xml:space="preserve">. </w:t>
      </w:r>
    </w:p>
    <w:p w:rsidR="00ED6AA4" w:rsidRDefault="00CE4BA7">
      <w:pPr>
        <w:pStyle w:val="afc"/>
        <w:widowControl/>
        <w:spacing w:after="120" w:line="276" w:lineRule="auto"/>
        <w:ind w:left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5.    Электронная библиотека Финансового университета (ЭБ) http://elib.fa.ru/</w:t>
      </w:r>
    </w:p>
    <w:p w:rsidR="00ED6AA4" w:rsidRDefault="00CE4BA7">
      <w:pPr>
        <w:pStyle w:val="afc"/>
        <w:widowControl/>
        <w:spacing w:after="120" w:line="276" w:lineRule="auto"/>
        <w:ind w:left="720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6.    Электронно-библиотечная система BOOK.RU http://www.book.ru</w:t>
      </w:r>
    </w:p>
    <w:p w:rsidR="00ED6AA4" w:rsidRDefault="00CE4BA7">
      <w:pPr>
        <w:pStyle w:val="afc"/>
        <w:widowControl/>
        <w:spacing w:after="120" w:line="276" w:lineRule="auto"/>
        <w:ind w:left="720"/>
        <w:jc w:val="both"/>
      </w:pPr>
      <w:r>
        <w:rPr>
          <w:color w:val="000000" w:themeColor="text1"/>
          <w:sz w:val="28"/>
          <w:szCs w:val="28"/>
        </w:rPr>
        <w:t xml:space="preserve">7.    Электронно-библиотечная система </w:t>
      </w:r>
      <w:r>
        <w:rPr>
          <w:color w:val="000000" w:themeColor="text1"/>
          <w:sz w:val="28"/>
          <w:szCs w:val="28"/>
          <w:lang w:val="en-US"/>
        </w:rPr>
        <w:t>Znanium</w:t>
      </w:r>
      <w:r>
        <w:rPr>
          <w:color w:val="000000" w:themeColor="text1"/>
          <w:sz w:val="28"/>
          <w:szCs w:val="28"/>
        </w:rPr>
        <w:t xml:space="preserve"> </w:t>
      </w:r>
      <w:hyperlink r:id="rId32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ED6AA4" w:rsidRDefault="00ED6AA4" w:rsidP="00C4349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GoBack"/>
      <w:bookmarkEnd w:id="24"/>
    </w:p>
    <w:p w:rsidR="00ED6AA4" w:rsidRDefault="00CE4BA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164688778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5"/>
    </w:p>
    <w:p w:rsidR="00ED6AA4" w:rsidRDefault="00CE4BA7">
      <w:pPr>
        <w:spacing w:beforeAutospacing="1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</w:t>
      </w:r>
      <w:r>
        <w:rPr>
          <w:rFonts w:eastAsia="Times New Roman"/>
          <w:sz w:val="28"/>
          <w:szCs w:val="28"/>
        </w:rPr>
        <w:lastRenderedPageBreak/>
        <w:t xml:space="preserve">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ED6AA4" w:rsidRDefault="00ED6AA4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64688779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D6AA4" w:rsidRDefault="00CE4BA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7" w:name="_Toc115871084"/>
      <w:bookmarkStart w:id="28" w:name="_Toc22036690"/>
      <w:bookmarkStart w:id="29" w:name="_Toc531686467"/>
      <w:bookmarkStart w:id="30" w:name="_Toc531614950"/>
      <w:bookmarkStart w:id="31" w:name="_Toc16468878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7"/>
      <w:bookmarkEnd w:id="28"/>
      <w:bookmarkEnd w:id="29"/>
      <w:bookmarkEnd w:id="30"/>
      <w:bookmarkEnd w:id="31"/>
    </w:p>
    <w:p w:rsidR="00ED6AA4" w:rsidRPr="00C4349D" w:rsidRDefault="00CE4BA7">
      <w:pPr>
        <w:spacing w:line="360" w:lineRule="auto"/>
        <w:ind w:firstLine="709"/>
        <w:jc w:val="both"/>
        <w:rPr>
          <w:sz w:val="28"/>
        </w:rPr>
      </w:pPr>
      <w:r w:rsidRPr="00C4349D">
        <w:rPr>
          <w:sz w:val="28"/>
        </w:rPr>
        <w:t xml:space="preserve">1. </w:t>
      </w:r>
      <w:r>
        <w:rPr>
          <w:sz w:val="28"/>
          <w:szCs w:val="28"/>
        </w:rPr>
        <w:t>ОС</w:t>
      </w:r>
      <w:r w:rsidRPr="00C4349D">
        <w:rPr>
          <w:sz w:val="28"/>
        </w:rPr>
        <w:t xml:space="preserve"> </w:t>
      </w:r>
      <w:r>
        <w:rPr>
          <w:sz w:val="28"/>
          <w:szCs w:val="28"/>
          <w:lang w:val="en-US"/>
        </w:rPr>
        <w:t>Windows</w:t>
      </w:r>
      <w:r w:rsidRPr="00C4349D">
        <w:rPr>
          <w:sz w:val="28"/>
        </w:rPr>
        <w:t xml:space="preserve"> </w:t>
      </w:r>
      <w:r>
        <w:rPr>
          <w:sz w:val="28"/>
          <w:szCs w:val="28"/>
        </w:rPr>
        <w:t>или</w:t>
      </w:r>
      <w:r w:rsidRPr="00C4349D">
        <w:rPr>
          <w:sz w:val="28"/>
        </w:rPr>
        <w:t xml:space="preserve"> </w:t>
      </w:r>
      <w:r>
        <w:rPr>
          <w:sz w:val="28"/>
          <w:szCs w:val="28"/>
        </w:rPr>
        <w:t>ОС</w:t>
      </w:r>
      <w:r w:rsidRPr="00C4349D">
        <w:rPr>
          <w:sz w:val="28"/>
        </w:rPr>
        <w:t xml:space="preserve"> </w:t>
      </w:r>
      <w:r>
        <w:rPr>
          <w:sz w:val="28"/>
          <w:szCs w:val="28"/>
          <w:lang w:val="en-US"/>
        </w:rPr>
        <w:t>Astra</w:t>
      </w:r>
      <w:r w:rsidRPr="00C4349D">
        <w:rPr>
          <w:sz w:val="28"/>
        </w:rPr>
        <w:t xml:space="preserve"> </w:t>
      </w:r>
      <w:r>
        <w:rPr>
          <w:sz w:val="28"/>
          <w:szCs w:val="28"/>
          <w:lang w:val="en-US"/>
        </w:rPr>
        <w:t>Linux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32" w:name="_Toc531686468"/>
      <w:bookmarkStart w:id="33" w:name="_Toc531614951"/>
      <w:r>
        <w:rPr>
          <w:sz w:val="28"/>
          <w:szCs w:val="28"/>
          <w:lang w:val="en-US"/>
        </w:rPr>
        <w:t>2. Microsoft  Office</w:t>
      </w:r>
      <w:bookmarkEnd w:id="32"/>
      <w:bookmarkEnd w:id="33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пакет</w:t>
      </w:r>
      <w:r>
        <w:rPr>
          <w:sz w:val="28"/>
          <w:szCs w:val="28"/>
          <w:lang w:val="en-US"/>
        </w:rPr>
        <w:t xml:space="preserve"> LibreOffice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34" w:name="_Toc531686469"/>
      <w:bookmarkStart w:id="35" w:name="_Toc531614952"/>
      <w:r>
        <w:rPr>
          <w:sz w:val="28"/>
          <w:szCs w:val="28"/>
          <w:lang w:val="en-US"/>
        </w:rPr>
        <w:t xml:space="preserve">3. </w:t>
      </w:r>
      <w:r>
        <w:rPr>
          <w:sz w:val="28"/>
          <w:szCs w:val="28"/>
        </w:rPr>
        <w:t>Антивирус</w:t>
      </w:r>
      <w:r>
        <w:rPr>
          <w:sz w:val="28"/>
          <w:szCs w:val="28"/>
          <w:lang w:val="en-US"/>
        </w:rPr>
        <w:t xml:space="preserve"> </w:t>
      </w:r>
      <w:bookmarkEnd w:id="34"/>
      <w:bookmarkEnd w:id="35"/>
      <w:r>
        <w:rPr>
          <w:sz w:val="28"/>
          <w:szCs w:val="28"/>
          <w:lang w:val="en-US"/>
        </w:rPr>
        <w:t>Kaspersky</w:t>
      </w:r>
    </w:p>
    <w:p w:rsidR="00ED6AA4" w:rsidRDefault="00CE4BA7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6" w:name="_Toc115871085"/>
      <w:bookmarkStart w:id="37" w:name="_Toc22036691"/>
      <w:bookmarkStart w:id="38" w:name="_Toc531686470"/>
      <w:bookmarkStart w:id="39" w:name="_Toc531614953"/>
      <w:bookmarkStart w:id="40" w:name="_Toc164688781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6"/>
      <w:bookmarkEnd w:id="37"/>
      <w:bookmarkEnd w:id="38"/>
      <w:bookmarkEnd w:id="39"/>
      <w:bookmarkEnd w:id="40"/>
    </w:p>
    <w:p w:rsidR="00ED6AA4" w:rsidRDefault="00ED6AA4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</w:p>
    <w:p w:rsidR="00ED6AA4" w:rsidRDefault="00CE4BA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</w:t>
      </w:r>
      <w:r>
        <w:rPr>
          <w:sz w:val="28"/>
          <w:szCs w:val="28"/>
        </w:rPr>
        <w:t xml:space="preserve">Банк России. Раскрытие информации кредитными организациями. 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3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cbr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ru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banking</w:t>
        </w:r>
        <w:r>
          <w:rPr>
            <w:sz w:val="28"/>
            <w:szCs w:val="28"/>
          </w:rPr>
          <w:t>_</w:t>
        </w:r>
        <w:r>
          <w:rPr>
            <w:sz w:val="28"/>
            <w:szCs w:val="28"/>
            <w:lang w:val="en-US"/>
          </w:rPr>
          <w:t>sector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otchetnost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kreditnykh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organizaciy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transparent</w:t>
        </w:r>
        <w:r>
          <w:rPr>
            <w:sz w:val="28"/>
            <w:szCs w:val="28"/>
          </w:rPr>
          <w:t>/</w:t>
        </w:r>
      </w:hyperlink>
      <w:r>
        <w:rPr>
          <w:rFonts w:eastAsia="Calibri"/>
          <w:bCs/>
          <w:sz w:val="28"/>
          <w:szCs w:val="28"/>
        </w:rPr>
        <w:t xml:space="preserve"> .</w:t>
      </w:r>
    </w:p>
    <w:p w:rsidR="00ED6AA4" w:rsidRDefault="00CE4BA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Портал банковского аналитика. </w:t>
      </w:r>
      <w:r>
        <w:rPr>
          <w:sz w:val="28"/>
          <w:szCs w:val="28"/>
        </w:rPr>
        <w:t xml:space="preserve">[Электронный ресурс]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34">
        <w:r>
          <w:rPr>
            <w:rFonts w:eastAsia="Calibri"/>
            <w:bCs/>
            <w:sz w:val="28"/>
            <w:szCs w:val="28"/>
          </w:rPr>
          <w:t>https://analizbankov.ru/bank.php</w:t>
        </w:r>
      </w:hyperlink>
      <w:r>
        <w:rPr>
          <w:rFonts w:eastAsia="Calibri"/>
          <w:bCs/>
          <w:sz w:val="28"/>
          <w:szCs w:val="28"/>
        </w:rPr>
        <w:t xml:space="preserve">. </w:t>
      </w:r>
    </w:p>
    <w:p w:rsidR="00ED6AA4" w:rsidRDefault="00CE4BA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3. Портал арбитражных дел «Электронное правосудие» (</w:t>
      </w:r>
      <w:hyperlink r:id="rId35">
        <w:r>
          <w:rPr>
            <w:sz w:val="28"/>
            <w:szCs w:val="28"/>
          </w:rPr>
          <w:t>https://kad.arbitr.ru/</w:t>
        </w:r>
      </w:hyperlink>
      <w:r>
        <w:rPr>
          <w:sz w:val="28"/>
          <w:szCs w:val="28"/>
        </w:rPr>
        <w:t>).</w:t>
      </w:r>
    </w:p>
    <w:p w:rsidR="00ED6AA4" w:rsidRDefault="00CE4BA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Информационно-правовая система «Гарант»</w:t>
      </w:r>
    </w:p>
    <w:p w:rsidR="00ED6AA4" w:rsidRDefault="00CE4BA7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Информационно-правовая система «Консультант Плюс»</w:t>
      </w:r>
    </w:p>
    <w:p w:rsidR="00ED6AA4" w:rsidRDefault="00ED6AA4">
      <w:pPr>
        <w:spacing w:line="360" w:lineRule="auto"/>
        <w:jc w:val="both"/>
        <w:rPr>
          <w:bCs/>
          <w:sz w:val="28"/>
          <w:szCs w:val="28"/>
        </w:rPr>
      </w:pPr>
    </w:p>
    <w:p w:rsidR="00ED6AA4" w:rsidRDefault="00CE4BA7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D6AA4" w:rsidRDefault="00CE4BA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D6AA4" w:rsidRDefault="00ED6AA4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ED6AA4" w:rsidRDefault="00CE4BA7">
      <w:pPr>
        <w:pStyle w:val="1"/>
        <w:spacing w:before="0" w:after="120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64688782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1"/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компьютерные классы с выходом в Интернет;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аудитории, оборудованные мультимедийными средствами обучения;</w:t>
      </w:r>
    </w:p>
    <w:p w:rsidR="00ED6AA4" w:rsidRDefault="00CE4B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доступ к современным информационным системам.</w:t>
      </w:r>
    </w:p>
    <w:sectPr w:rsidR="00ED6AA4">
      <w:headerReference w:type="default" r:id="rId36"/>
      <w:footerReference w:type="default" r:id="rId3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82C" w:rsidRDefault="0043682C">
      <w:r>
        <w:separator/>
      </w:r>
    </w:p>
  </w:endnote>
  <w:endnote w:type="continuationSeparator" w:id="0">
    <w:p w:rsidR="0043682C" w:rsidRDefault="0043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82C" w:rsidRDefault="0043682C">
      <w:pPr>
        <w:rPr>
          <w:sz w:val="12"/>
        </w:rPr>
      </w:pPr>
      <w:r>
        <w:separator/>
      </w:r>
    </w:p>
  </w:footnote>
  <w:footnote w:type="continuationSeparator" w:id="0">
    <w:p w:rsidR="0043682C" w:rsidRDefault="0043682C">
      <w:pPr>
        <w:rPr>
          <w:sz w:val="12"/>
        </w:rPr>
      </w:pPr>
      <w:r>
        <w:continuationSeparator/>
      </w:r>
    </w:p>
  </w:footnote>
  <w:footnote w:id="1">
    <w:p w:rsidR="00ED6AA4" w:rsidRDefault="00CE4BA7">
      <w:pPr>
        <w:pStyle w:val="a3"/>
      </w:pPr>
      <w:r>
        <w:rPr>
          <w:rStyle w:val="af0"/>
        </w:rPr>
        <w:footnoteRef/>
      </w:r>
      <w:r>
        <w:rPr>
          <w:vertAlign w:val="superscript"/>
        </w:rPr>
        <w:t xml:space="preserve"> </w:t>
      </w:r>
      <w:r>
        <w:t xml:space="preserve">Банк России. Раскрытие информации кредитными организациями. [Электронный ресурс] </w:t>
      </w:r>
      <w:r>
        <w:rPr>
          <w:lang w:val="en-US"/>
        </w:rPr>
        <w:t>URL</w:t>
      </w:r>
      <w:r>
        <w:t xml:space="preserve">: </w:t>
      </w:r>
      <w:hyperlink r:id="rId1">
        <w:r>
          <w:t>http://www.cbr.ru/banking_sector/otchetnost-kreditnykh-organizaciy/transparent/</w:t>
        </w:r>
      </w:hyperlink>
      <w:r>
        <w:t xml:space="preserve"> . </w:t>
      </w:r>
    </w:p>
  </w:footnote>
  <w:footnote w:id="2">
    <w:p w:rsidR="00ED6AA4" w:rsidRDefault="00CE4BA7">
      <w:pPr>
        <w:pStyle w:val="a3"/>
        <w:rPr>
          <w:lang w:val="en-US"/>
        </w:rPr>
      </w:pPr>
      <w:r>
        <w:rPr>
          <w:rStyle w:val="af0"/>
        </w:rPr>
        <w:footnoteRef/>
      </w:r>
      <w:r>
        <w:t xml:space="preserve"> Портал банковского аналитика. [Электронный ресурс]. </w:t>
      </w:r>
      <w:r>
        <w:rPr>
          <w:lang w:val="en-US"/>
        </w:rPr>
        <w:t xml:space="preserve">URL: </w:t>
      </w:r>
      <w:hyperlink r:id="rId2">
        <w:r>
          <w:rPr>
            <w:lang w:val="en-US"/>
          </w:rPr>
          <w:t>https://analizbankov.ru/bank.php</w:t>
        </w:r>
      </w:hyperlink>
      <w:r>
        <w:rPr>
          <w:lang w:val="en-US"/>
        </w:rPr>
        <w:t xml:space="preserve"> .</w:t>
      </w:r>
    </w:p>
  </w:footnote>
  <w:footnote w:id="3">
    <w:p w:rsidR="00ED6AA4" w:rsidRDefault="00CE4BA7">
      <w:pPr>
        <w:pStyle w:val="a3"/>
      </w:pPr>
      <w:r>
        <w:rPr>
          <w:rStyle w:val="af0"/>
        </w:rPr>
        <w:footnoteRef/>
      </w:r>
      <w:r>
        <w:t xml:space="preserve"> В методиках кредитных рейтинговых агентств этот раздел обычно именуется анализом фондирования.</w:t>
      </w:r>
    </w:p>
  </w:footnote>
  <w:footnote w:id="4">
    <w:p w:rsidR="00ED6AA4" w:rsidRDefault="00CE4BA7">
      <w:pPr>
        <w:pStyle w:val="a3"/>
        <w:jc w:val="both"/>
        <w:rPr>
          <w:sz w:val="24"/>
          <w:szCs w:val="24"/>
        </w:rPr>
      </w:pPr>
      <w:r>
        <w:rPr>
          <w:rStyle w:val="af0"/>
        </w:rPr>
        <w:footnoteRef/>
      </w:r>
      <w:r>
        <w:rPr>
          <w:sz w:val="24"/>
          <w:szCs w:val="24"/>
        </w:rPr>
        <w:t xml:space="preserve"> Кредиты на приобретение помещения на определенных условиях (соотношение размера ссуды и стоимости залога, регулярная переоценка помещения и т.д.)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AA4" w:rsidRDefault="00ED6AA4">
    <w:pPr>
      <w:pStyle w:val="afa"/>
      <w:rPr>
        <w:rStyle w:val="FontStyle72"/>
        <w:b w:val="0"/>
        <w:b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411FC"/>
    <w:multiLevelType w:val="multilevel"/>
    <w:tmpl w:val="251E68A4"/>
    <w:lvl w:ilvl="0">
      <w:start w:val="1"/>
      <w:numFmt w:val="decimal"/>
      <w:pStyle w:val="2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E16F12"/>
    <w:multiLevelType w:val="multilevel"/>
    <w:tmpl w:val="A4D869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723017"/>
    <w:multiLevelType w:val="multilevel"/>
    <w:tmpl w:val="554EF8EA"/>
    <w:lvl w:ilvl="0">
      <w:start w:val="1"/>
      <w:numFmt w:val="bullet"/>
      <w:lvlText w:val="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53C2086"/>
    <w:multiLevelType w:val="multilevel"/>
    <w:tmpl w:val="D898EC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ACD4252"/>
    <w:multiLevelType w:val="multilevel"/>
    <w:tmpl w:val="05CE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58F5FEF"/>
    <w:multiLevelType w:val="multilevel"/>
    <w:tmpl w:val="3FB2FB2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5D6834B7"/>
    <w:multiLevelType w:val="multilevel"/>
    <w:tmpl w:val="39D8954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5F306DD5"/>
    <w:multiLevelType w:val="multilevel"/>
    <w:tmpl w:val="A03A4C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E615305"/>
    <w:multiLevelType w:val="multilevel"/>
    <w:tmpl w:val="49D022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FC53B65"/>
    <w:multiLevelType w:val="multilevel"/>
    <w:tmpl w:val="7F02FA98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93D66D1"/>
    <w:multiLevelType w:val="multilevel"/>
    <w:tmpl w:val="56B83A1E"/>
    <w:lvl w:ilvl="0">
      <w:start w:val="1"/>
      <w:numFmt w:val="bullet"/>
      <w:lvlText w:val="−"/>
      <w:lvlJc w:val="left"/>
      <w:pPr>
        <w:tabs>
          <w:tab w:val="num" w:pos="0"/>
        </w:tabs>
        <w:ind w:left="83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A4"/>
    <w:rsid w:val="0043682C"/>
    <w:rsid w:val="00C4349D"/>
    <w:rsid w:val="00CE4BA7"/>
    <w:rsid w:val="00E94F7C"/>
    <w:rsid w:val="00ED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A8A0"/>
  <w15:docId w15:val="{22AE7968-8CBD-461B-96C4-56E7AA10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899"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AA48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AA48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34E5E"/>
    <w:pPr>
      <w:keepNext/>
      <w:keepLines/>
      <w:widowControl/>
      <w:spacing w:before="4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AA488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qFormat/>
    <w:rsid w:val="00AA488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734E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53">
    <w:name w:val="Font Style53"/>
    <w:basedOn w:val="a0"/>
    <w:uiPriority w:val="99"/>
    <w:qFormat/>
    <w:rsid w:val="002028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4">
    <w:name w:val="Font Style54"/>
    <w:basedOn w:val="a0"/>
    <w:uiPriority w:val="99"/>
    <w:qFormat/>
    <w:rsid w:val="002028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7">
    <w:name w:val="Font Style57"/>
    <w:basedOn w:val="a0"/>
    <w:uiPriority w:val="99"/>
    <w:qFormat/>
    <w:rsid w:val="002028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3">
    <w:name w:val="Font Style63"/>
    <w:basedOn w:val="a0"/>
    <w:uiPriority w:val="99"/>
    <w:qFormat/>
    <w:rsid w:val="00202899"/>
    <w:rPr>
      <w:rFonts w:ascii="Times New Roman" w:hAnsi="Times New Roman" w:cs="Times New Roman"/>
      <w:sz w:val="30"/>
      <w:szCs w:val="30"/>
    </w:rPr>
  </w:style>
  <w:style w:type="character" w:customStyle="1" w:styleId="FontStyle65">
    <w:name w:val="Font Style65"/>
    <w:basedOn w:val="a0"/>
    <w:uiPriority w:val="99"/>
    <w:qFormat/>
    <w:rsid w:val="002028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7">
    <w:name w:val="Font Style67"/>
    <w:basedOn w:val="a0"/>
    <w:uiPriority w:val="99"/>
    <w:qFormat/>
    <w:rsid w:val="00202899"/>
    <w:rPr>
      <w:rFonts w:ascii="Times New Roman" w:hAnsi="Times New Roman" w:cs="Times New Roman"/>
      <w:sz w:val="22"/>
      <w:szCs w:val="22"/>
    </w:rPr>
  </w:style>
  <w:style w:type="character" w:customStyle="1" w:styleId="FontStyle71">
    <w:name w:val="Font Style71"/>
    <w:basedOn w:val="a0"/>
    <w:uiPriority w:val="99"/>
    <w:qFormat/>
    <w:rsid w:val="0020289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2">
    <w:name w:val="Font Style72"/>
    <w:basedOn w:val="a0"/>
    <w:uiPriority w:val="99"/>
    <w:qFormat/>
    <w:rsid w:val="002028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3">
    <w:name w:val="Font Style73"/>
    <w:basedOn w:val="a0"/>
    <w:qFormat/>
    <w:rsid w:val="00202899"/>
    <w:rPr>
      <w:rFonts w:ascii="Times New Roman" w:hAnsi="Times New Roman" w:cs="Times New Roman"/>
      <w:sz w:val="26"/>
      <w:szCs w:val="26"/>
    </w:rPr>
  </w:style>
  <w:style w:type="character" w:customStyle="1" w:styleId="FontStyle74">
    <w:name w:val="Font Style74"/>
    <w:basedOn w:val="a0"/>
    <w:uiPriority w:val="99"/>
    <w:qFormat/>
    <w:rsid w:val="00202899"/>
    <w:rPr>
      <w:rFonts w:ascii="Times New Roman" w:hAnsi="Times New Roman" w:cs="Times New Roman"/>
      <w:sz w:val="22"/>
      <w:szCs w:val="22"/>
    </w:rPr>
  </w:style>
  <w:style w:type="character" w:customStyle="1" w:styleId="a4">
    <w:name w:val="Верхний колонтитул Знак"/>
    <w:basedOn w:val="a0"/>
    <w:uiPriority w:val="99"/>
    <w:qFormat/>
    <w:rsid w:val="002028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2028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6">
    <w:name w:val="Заголовок Знак"/>
    <w:basedOn w:val="a0"/>
    <w:qFormat/>
    <w:rsid w:val="00B96B0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58">
    <w:name w:val="Font Style58"/>
    <w:basedOn w:val="a0"/>
    <w:uiPriority w:val="99"/>
    <w:qFormat/>
    <w:rsid w:val="00A0346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0">
    <w:name w:val="Font Style60"/>
    <w:basedOn w:val="a0"/>
    <w:uiPriority w:val="99"/>
    <w:qFormat/>
    <w:rsid w:val="00375F1B"/>
    <w:rPr>
      <w:rFonts w:ascii="Times New Roman" w:hAnsi="Times New Roman" w:cs="Times New Roman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rsid w:val="00447785"/>
    <w:rPr>
      <w:color w:val="0563C1" w:themeColor="hyperlink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106B1E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2">
    <w:name w:val="Текст сноски Знак2"/>
    <w:qFormat/>
    <w:locked/>
    <w:rsid w:val="00BE19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uiPriority w:val="99"/>
    <w:qFormat/>
    <w:rsid w:val="00BE19F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447785"/>
    <w:rPr>
      <w:vertAlign w:val="superscript"/>
    </w:rPr>
  </w:style>
  <w:style w:type="character" w:styleId="aa">
    <w:name w:val="Strong"/>
    <w:uiPriority w:val="22"/>
    <w:qFormat/>
    <w:rsid w:val="00547B7F"/>
    <w:rPr>
      <w:rFonts w:ascii="Times New Roman" w:hAnsi="Times New Roman" w:cs="Times New Roman"/>
      <w:b/>
      <w:bCs/>
      <w:sz w:val="24"/>
      <w:u w:val="single"/>
    </w:rPr>
  </w:style>
  <w:style w:type="character" w:customStyle="1" w:styleId="ab">
    <w:name w:val="Текст примечания Знак"/>
    <w:basedOn w:val="a0"/>
    <w:uiPriority w:val="99"/>
    <w:semiHidden/>
    <w:qFormat/>
    <w:rsid w:val="00734E5E"/>
    <w:rPr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734E5E"/>
    <w:rPr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447785"/>
    <w:rPr>
      <w:color w:val="954F72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qFormat/>
    <w:rsid w:val="0055592D"/>
    <w:rPr>
      <w:sz w:val="16"/>
      <w:szCs w:val="16"/>
    </w:rPr>
  </w:style>
  <w:style w:type="character" w:customStyle="1" w:styleId="FontStyle13">
    <w:name w:val="Font Style13"/>
    <w:qFormat/>
    <w:rsid w:val="00D97EC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uiPriority w:val="99"/>
    <w:qFormat/>
    <w:rsid w:val="00D97EC9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0">
    <w:name w:val="Текст сноски Знак1"/>
    <w:basedOn w:val="a0"/>
    <w:qFormat/>
    <w:rsid w:val="00D97EC9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0F423D"/>
    <w:rPr>
      <w:color w:val="605E5C"/>
      <w:shd w:val="clear" w:color="auto" w:fill="E1DFDD"/>
    </w:rPr>
  </w:style>
  <w:style w:type="character" w:customStyle="1" w:styleId="af">
    <w:name w:val="Ссылка указателя"/>
    <w:qFormat/>
  </w:style>
  <w:style w:type="character" w:customStyle="1" w:styleId="af0">
    <w:name w:val="Символ сноски"/>
    <w:qFormat/>
  </w:style>
  <w:style w:type="character" w:customStyle="1" w:styleId="af1">
    <w:name w:val="Привязка концевой сноски"/>
    <w:rPr>
      <w:vertAlign w:val="superscript"/>
    </w:rPr>
  </w:style>
  <w:style w:type="character" w:customStyle="1" w:styleId="af2">
    <w:name w:val="Символ концевой сноски"/>
    <w:qFormat/>
  </w:style>
  <w:style w:type="character" w:customStyle="1" w:styleId="23">
    <w:name w:val="Основной текст (2)"/>
    <w:basedOn w:val="a0"/>
    <w:qFormat/>
    <w:rsid w:val="0044778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qFormat/>
    <w:rsid w:val="00133D0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B36FD"/>
    <w:rPr>
      <w:color w:val="605E5C"/>
      <w:shd w:val="clear" w:color="auto" w:fill="E1DFDD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B96B00"/>
    <w:pPr>
      <w:widowControl/>
      <w:jc w:val="center"/>
    </w:pPr>
    <w:rPr>
      <w:rFonts w:eastAsia="Times New Roman"/>
      <w:b/>
      <w:sz w:val="28"/>
      <w:szCs w:val="20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"/>
    <w:uiPriority w:val="99"/>
    <w:semiHidden/>
    <w:unhideWhenUsed/>
    <w:rsid w:val="001668FA"/>
    <w:pPr>
      <w:ind w:left="283" w:hanging="283"/>
      <w:contextualSpacing/>
    </w:p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uiPriority w:val="99"/>
    <w:qFormat/>
    <w:rsid w:val="00202899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qFormat/>
    <w:rsid w:val="00202899"/>
  </w:style>
  <w:style w:type="paragraph" w:customStyle="1" w:styleId="Style6">
    <w:name w:val="Style6"/>
    <w:basedOn w:val="a"/>
    <w:uiPriority w:val="99"/>
    <w:qFormat/>
    <w:rsid w:val="00202899"/>
    <w:pPr>
      <w:spacing w:line="322" w:lineRule="exact"/>
      <w:jc w:val="center"/>
    </w:pPr>
  </w:style>
  <w:style w:type="paragraph" w:customStyle="1" w:styleId="Style7">
    <w:name w:val="Style7"/>
    <w:basedOn w:val="a"/>
    <w:uiPriority w:val="99"/>
    <w:qFormat/>
    <w:rsid w:val="00202899"/>
    <w:pPr>
      <w:spacing w:line="370" w:lineRule="exact"/>
      <w:jc w:val="center"/>
    </w:pPr>
  </w:style>
  <w:style w:type="paragraph" w:customStyle="1" w:styleId="Style8">
    <w:name w:val="Style8"/>
    <w:basedOn w:val="a"/>
    <w:uiPriority w:val="99"/>
    <w:qFormat/>
    <w:rsid w:val="00202899"/>
    <w:pPr>
      <w:jc w:val="both"/>
    </w:pPr>
  </w:style>
  <w:style w:type="paragraph" w:customStyle="1" w:styleId="Style11">
    <w:name w:val="Style11"/>
    <w:basedOn w:val="a"/>
    <w:uiPriority w:val="99"/>
    <w:qFormat/>
    <w:rsid w:val="00202899"/>
    <w:pPr>
      <w:spacing w:line="322" w:lineRule="exact"/>
      <w:jc w:val="right"/>
    </w:pPr>
  </w:style>
  <w:style w:type="paragraph" w:customStyle="1" w:styleId="Style16">
    <w:name w:val="Style16"/>
    <w:basedOn w:val="a"/>
    <w:uiPriority w:val="99"/>
    <w:qFormat/>
    <w:rsid w:val="00202899"/>
    <w:pPr>
      <w:jc w:val="both"/>
    </w:pPr>
  </w:style>
  <w:style w:type="paragraph" w:customStyle="1" w:styleId="Style17">
    <w:name w:val="Style17"/>
    <w:basedOn w:val="a"/>
    <w:uiPriority w:val="99"/>
    <w:qFormat/>
    <w:rsid w:val="00202899"/>
    <w:pPr>
      <w:spacing w:line="322" w:lineRule="exact"/>
      <w:ind w:hanging="878"/>
    </w:pPr>
  </w:style>
  <w:style w:type="paragraph" w:customStyle="1" w:styleId="Style18">
    <w:name w:val="Style18"/>
    <w:basedOn w:val="a"/>
    <w:uiPriority w:val="99"/>
    <w:qFormat/>
    <w:rsid w:val="00202899"/>
    <w:pPr>
      <w:spacing w:line="365" w:lineRule="exact"/>
      <w:ind w:firstLine="1320"/>
    </w:pPr>
  </w:style>
  <w:style w:type="paragraph" w:customStyle="1" w:styleId="Style19">
    <w:name w:val="Style19"/>
    <w:basedOn w:val="a"/>
    <w:uiPriority w:val="99"/>
    <w:qFormat/>
    <w:rsid w:val="00202899"/>
    <w:pPr>
      <w:spacing w:line="274" w:lineRule="exact"/>
      <w:ind w:hanging="1978"/>
    </w:pPr>
  </w:style>
  <w:style w:type="paragraph" w:customStyle="1" w:styleId="Style20">
    <w:name w:val="Style20"/>
    <w:basedOn w:val="a"/>
    <w:uiPriority w:val="99"/>
    <w:qFormat/>
    <w:rsid w:val="00202899"/>
    <w:pPr>
      <w:spacing w:line="278" w:lineRule="exact"/>
      <w:ind w:hanging="1046"/>
    </w:pPr>
  </w:style>
  <w:style w:type="paragraph" w:customStyle="1" w:styleId="Style22">
    <w:name w:val="Style22"/>
    <w:basedOn w:val="a"/>
    <w:uiPriority w:val="99"/>
    <w:qFormat/>
    <w:rsid w:val="00202899"/>
  </w:style>
  <w:style w:type="paragraph" w:customStyle="1" w:styleId="Style23">
    <w:name w:val="Style23"/>
    <w:basedOn w:val="a"/>
    <w:uiPriority w:val="99"/>
    <w:qFormat/>
    <w:rsid w:val="00202899"/>
  </w:style>
  <w:style w:type="paragraph" w:customStyle="1" w:styleId="Style25">
    <w:name w:val="Style25"/>
    <w:basedOn w:val="a"/>
    <w:uiPriority w:val="99"/>
    <w:qFormat/>
    <w:rsid w:val="00202899"/>
    <w:pPr>
      <w:spacing w:line="276" w:lineRule="exact"/>
    </w:pPr>
  </w:style>
  <w:style w:type="paragraph" w:customStyle="1" w:styleId="Style30">
    <w:name w:val="Style30"/>
    <w:basedOn w:val="a"/>
    <w:uiPriority w:val="99"/>
    <w:qFormat/>
    <w:rsid w:val="00202899"/>
  </w:style>
  <w:style w:type="paragraph" w:customStyle="1" w:styleId="Style31">
    <w:name w:val="Style31"/>
    <w:basedOn w:val="a"/>
    <w:uiPriority w:val="99"/>
    <w:qFormat/>
    <w:rsid w:val="00202899"/>
    <w:pPr>
      <w:spacing w:line="278" w:lineRule="exact"/>
      <w:ind w:hanging="134"/>
    </w:pPr>
  </w:style>
  <w:style w:type="paragraph" w:customStyle="1" w:styleId="Style35">
    <w:name w:val="Style35"/>
    <w:basedOn w:val="a"/>
    <w:uiPriority w:val="99"/>
    <w:qFormat/>
    <w:rsid w:val="00202899"/>
    <w:pPr>
      <w:spacing w:line="298" w:lineRule="exact"/>
      <w:jc w:val="right"/>
    </w:pPr>
  </w:style>
  <w:style w:type="paragraph" w:customStyle="1" w:styleId="Style36">
    <w:name w:val="Style36"/>
    <w:basedOn w:val="a"/>
    <w:uiPriority w:val="99"/>
    <w:qFormat/>
    <w:rsid w:val="00202899"/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202899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202899"/>
    <w:pPr>
      <w:tabs>
        <w:tab w:val="center" w:pos="4677"/>
        <w:tab w:val="right" w:pos="9355"/>
      </w:tabs>
    </w:pPr>
  </w:style>
  <w:style w:type="paragraph" w:styleId="afc">
    <w:name w:val="List Paragraph"/>
    <w:basedOn w:val="a"/>
    <w:qFormat/>
    <w:rsid w:val="00B96B00"/>
    <w:pPr>
      <w:ind w:left="708"/>
    </w:pPr>
    <w:rPr>
      <w:rFonts w:eastAsia="Times New Roman"/>
      <w:sz w:val="20"/>
      <w:szCs w:val="20"/>
    </w:rPr>
  </w:style>
  <w:style w:type="paragraph" w:customStyle="1" w:styleId="Style13">
    <w:name w:val="Style13"/>
    <w:basedOn w:val="a"/>
    <w:uiPriority w:val="99"/>
    <w:qFormat/>
    <w:rsid w:val="00A03464"/>
    <w:pPr>
      <w:spacing w:line="499" w:lineRule="exact"/>
      <w:ind w:firstLine="2664"/>
    </w:pPr>
  </w:style>
  <w:style w:type="paragraph" w:customStyle="1" w:styleId="Style39">
    <w:name w:val="Style39"/>
    <w:basedOn w:val="a"/>
    <w:uiPriority w:val="99"/>
    <w:qFormat/>
    <w:rsid w:val="00A03464"/>
    <w:pPr>
      <w:spacing w:line="485" w:lineRule="exact"/>
      <w:jc w:val="both"/>
    </w:pPr>
  </w:style>
  <w:style w:type="paragraph" w:customStyle="1" w:styleId="Style42">
    <w:name w:val="Style42"/>
    <w:basedOn w:val="a"/>
    <w:uiPriority w:val="99"/>
    <w:qFormat/>
    <w:rsid w:val="00A03464"/>
    <w:pPr>
      <w:spacing w:line="487" w:lineRule="exact"/>
      <w:ind w:firstLine="710"/>
      <w:jc w:val="both"/>
    </w:pPr>
  </w:style>
  <w:style w:type="paragraph" w:customStyle="1" w:styleId="Style46">
    <w:name w:val="Style46"/>
    <w:basedOn w:val="a"/>
    <w:uiPriority w:val="99"/>
    <w:qFormat/>
    <w:rsid w:val="00A03464"/>
    <w:pPr>
      <w:spacing w:line="482" w:lineRule="exact"/>
      <w:ind w:firstLine="629"/>
      <w:jc w:val="both"/>
    </w:pPr>
  </w:style>
  <w:style w:type="paragraph" w:customStyle="1" w:styleId="Style26">
    <w:name w:val="Style26"/>
    <w:basedOn w:val="a"/>
    <w:uiPriority w:val="99"/>
    <w:qFormat/>
    <w:rsid w:val="00336AF2"/>
    <w:pPr>
      <w:spacing w:line="482" w:lineRule="exact"/>
      <w:ind w:hanging="346"/>
    </w:pPr>
    <w:rPr>
      <w:rFonts w:eastAsia="Times New Roman"/>
    </w:rPr>
  </w:style>
  <w:style w:type="paragraph" w:customStyle="1" w:styleId="Style41">
    <w:name w:val="Style41"/>
    <w:basedOn w:val="a"/>
    <w:qFormat/>
    <w:rsid w:val="00336AF2"/>
    <w:pPr>
      <w:spacing w:line="394" w:lineRule="exact"/>
      <w:ind w:hanging="355"/>
    </w:pPr>
    <w:rPr>
      <w:rFonts w:eastAsia="Times New Roman"/>
    </w:rPr>
  </w:style>
  <w:style w:type="paragraph" w:customStyle="1" w:styleId="Style48">
    <w:name w:val="Style48"/>
    <w:basedOn w:val="a"/>
    <w:qFormat/>
    <w:rsid w:val="00336AF2"/>
    <w:pPr>
      <w:spacing w:line="480" w:lineRule="exact"/>
      <w:ind w:hanging="355"/>
    </w:pPr>
    <w:rPr>
      <w:rFonts w:eastAsia="Times New Roman"/>
    </w:rPr>
  </w:style>
  <w:style w:type="paragraph" w:styleId="afd">
    <w:name w:val="TOC Heading"/>
    <w:basedOn w:val="1"/>
    <w:next w:val="a"/>
    <w:uiPriority w:val="39"/>
    <w:unhideWhenUsed/>
    <w:qFormat/>
    <w:rsid w:val="00086F3B"/>
    <w:pPr>
      <w:widowControl/>
      <w:spacing w:line="259" w:lineRule="auto"/>
    </w:pPr>
  </w:style>
  <w:style w:type="paragraph" w:styleId="12">
    <w:name w:val="toc 1"/>
    <w:basedOn w:val="a"/>
    <w:next w:val="a"/>
    <w:autoRedefine/>
    <w:uiPriority w:val="39"/>
    <w:unhideWhenUsed/>
    <w:rsid w:val="00F52192"/>
    <w:pPr>
      <w:tabs>
        <w:tab w:val="right" w:leader="dot" w:pos="9345"/>
      </w:tabs>
      <w:spacing w:after="100"/>
    </w:pPr>
    <w:rPr>
      <w:rFonts w:eastAsia="Calibri"/>
      <w:bCs/>
      <w:color w:val="FF0000"/>
      <w:kern w:val="2"/>
    </w:rPr>
  </w:style>
  <w:style w:type="paragraph" w:styleId="25">
    <w:name w:val="toc 2"/>
    <w:basedOn w:val="a"/>
    <w:next w:val="a"/>
    <w:autoRedefine/>
    <w:uiPriority w:val="39"/>
    <w:unhideWhenUsed/>
    <w:rsid w:val="00086F3B"/>
    <w:pPr>
      <w:spacing w:after="100"/>
      <w:ind w:left="240"/>
    </w:pPr>
  </w:style>
  <w:style w:type="paragraph" w:styleId="afe">
    <w:name w:val="Balloon Text"/>
    <w:basedOn w:val="a"/>
    <w:uiPriority w:val="99"/>
    <w:semiHidden/>
    <w:unhideWhenUsed/>
    <w:qFormat/>
    <w:rsid w:val="00106B1E"/>
    <w:rPr>
      <w:rFonts w:ascii="Segoe UI" w:hAnsi="Segoe UI" w:cs="Segoe UI"/>
      <w:sz w:val="18"/>
      <w:szCs w:val="18"/>
    </w:rPr>
  </w:style>
  <w:style w:type="paragraph" w:styleId="a3">
    <w:name w:val="footnote text"/>
    <w:basedOn w:val="a"/>
    <w:link w:val="31"/>
    <w:uiPriority w:val="99"/>
    <w:rsid w:val="00BE19FB"/>
    <w:rPr>
      <w:rFonts w:eastAsia="Times New Roman"/>
      <w:sz w:val="20"/>
      <w:szCs w:val="20"/>
    </w:rPr>
  </w:style>
  <w:style w:type="paragraph" w:styleId="aff">
    <w:name w:val="Normal (Web)"/>
    <w:basedOn w:val="a"/>
    <w:uiPriority w:val="99"/>
    <w:semiHidden/>
    <w:unhideWhenUsed/>
    <w:qFormat/>
    <w:rsid w:val="00734E5E"/>
    <w:pPr>
      <w:widowControl/>
      <w:spacing w:beforeAutospacing="1" w:afterAutospacing="1"/>
    </w:pPr>
    <w:rPr>
      <w:rFonts w:eastAsia="Times New Roman"/>
    </w:rPr>
  </w:style>
  <w:style w:type="paragraph" w:styleId="32">
    <w:name w:val="toc 3"/>
    <w:basedOn w:val="a"/>
    <w:next w:val="a"/>
    <w:autoRedefine/>
    <w:uiPriority w:val="39"/>
    <w:unhideWhenUsed/>
    <w:rsid w:val="00734E5E"/>
    <w:pPr>
      <w:widowControl/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0">
    <w:name w:val="annotation text"/>
    <w:basedOn w:val="a"/>
    <w:uiPriority w:val="99"/>
    <w:semiHidden/>
    <w:unhideWhenUsed/>
    <w:qFormat/>
    <w:rsid w:val="00734E5E"/>
    <w:pPr>
      <w:widowControl/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734E5E"/>
    <w:rPr>
      <w:b/>
      <w:bCs/>
    </w:rPr>
  </w:style>
  <w:style w:type="paragraph" w:styleId="aff2">
    <w:name w:val="No Spacing"/>
    <w:uiPriority w:val="1"/>
    <w:qFormat/>
    <w:rsid w:val="00D97EC9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Начало нумерованного списка 2"/>
    <w:basedOn w:val="af6"/>
    <w:next w:val="2"/>
    <w:qFormat/>
    <w:rsid w:val="001668FA"/>
    <w:pPr>
      <w:spacing w:after="140"/>
      <w:ind w:left="0" w:firstLine="0"/>
      <w:jc w:val="both"/>
    </w:pPr>
    <w:rPr>
      <w:rFonts w:ascii="PT Astra Serif" w:eastAsia="Source Han Sans CN Regular" w:hAnsi="PT Astra Serif" w:cs="Lohit Devanagari"/>
      <w:kern w:val="2"/>
      <w:sz w:val="28"/>
      <w:lang w:bidi="ru-RU"/>
    </w:rPr>
  </w:style>
  <w:style w:type="paragraph" w:styleId="2">
    <w:name w:val="List Number 2"/>
    <w:basedOn w:val="a"/>
    <w:uiPriority w:val="99"/>
    <w:semiHidden/>
    <w:unhideWhenUsed/>
    <w:qFormat/>
    <w:rsid w:val="001668FA"/>
    <w:pPr>
      <w:numPr>
        <w:numId w:val="8"/>
      </w:numPr>
      <w:contextualSpacing/>
    </w:pPr>
  </w:style>
  <w:style w:type="paragraph" w:styleId="4">
    <w:name w:val="toc 4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660"/>
    </w:pPr>
    <w:rPr>
      <w:rFonts w:asciiTheme="minorHAnsi" w:hAnsiTheme="minorHAnsi" w:cstheme="minorBidi"/>
      <w:sz w:val="22"/>
      <w:szCs w:val="22"/>
    </w:rPr>
  </w:style>
  <w:style w:type="paragraph" w:styleId="5">
    <w:name w:val="toc 5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880"/>
    </w:pPr>
    <w:rPr>
      <w:rFonts w:asciiTheme="minorHAnsi" w:hAnsiTheme="minorHAnsi" w:cstheme="minorBidi"/>
      <w:sz w:val="22"/>
      <w:szCs w:val="22"/>
    </w:rPr>
  </w:style>
  <w:style w:type="paragraph" w:styleId="6">
    <w:name w:val="toc 6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100"/>
    </w:pPr>
    <w:rPr>
      <w:rFonts w:asciiTheme="minorHAnsi" w:hAnsiTheme="minorHAnsi" w:cstheme="minorBidi"/>
      <w:sz w:val="22"/>
      <w:szCs w:val="22"/>
    </w:rPr>
  </w:style>
  <w:style w:type="paragraph" w:styleId="7">
    <w:name w:val="toc 7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320"/>
    </w:pPr>
    <w:rPr>
      <w:rFonts w:asciiTheme="minorHAnsi" w:hAnsiTheme="minorHAnsi" w:cstheme="minorBidi"/>
      <w:sz w:val="22"/>
      <w:szCs w:val="22"/>
    </w:rPr>
  </w:style>
  <w:style w:type="paragraph" w:styleId="8">
    <w:name w:val="toc 8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540"/>
    </w:pPr>
    <w:rPr>
      <w:rFonts w:asciiTheme="minorHAnsi" w:hAnsiTheme="minorHAnsi" w:cstheme="minorBid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0F423D"/>
    <w:pPr>
      <w:widowControl/>
      <w:spacing w:after="100" w:line="259" w:lineRule="auto"/>
      <w:ind w:left="1760"/>
    </w:pPr>
    <w:rPr>
      <w:rFonts w:asciiTheme="minorHAnsi" w:hAnsiTheme="minorHAnsi" w:cstheme="minorBidi"/>
      <w:sz w:val="22"/>
      <w:szCs w:val="22"/>
    </w:rPr>
  </w:style>
  <w:style w:type="table" w:styleId="aff3">
    <w:name w:val="Table Grid"/>
    <w:basedOn w:val="a1"/>
    <w:uiPriority w:val="39"/>
    <w:rsid w:val="00E46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69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Hyperlink"/>
    <w:basedOn w:val="a0"/>
    <w:uiPriority w:val="99"/>
    <w:unhideWhenUsed/>
    <w:rsid w:val="00C434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yperlink" Target="http://www.cbr.ru/banking_sector/otchetnost-kreditnykh-organizaciy/transparent/" TargetMode="External"/><Relationship Id="rId39" Type="http://schemas.openxmlformats.org/officeDocument/2006/relationships/theme" Target="theme/theme1.xml"/><Relationship Id="rId21" Type="http://schemas.openxmlformats.org/officeDocument/2006/relationships/footer" Target="footer6.xml"/><Relationship Id="rId34" Type="http://schemas.openxmlformats.org/officeDocument/2006/relationships/hyperlink" Target="https://analizbankov.ru/bank.php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hyperlink" Target="http://www.cbr.ru/banking_sector/otchetnost-kreditnykh-organizaciy/transparent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yperlink" Target="https://analizbankov.ru/bank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32" Type="http://schemas.openxmlformats.org/officeDocument/2006/relationships/hyperlink" Target="http://www.znanium.com/" TargetMode="External"/><Relationship Id="rId37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yperlink" Target="http://www.e-disclosure.ru/portal/company.aspx?id=202" TargetMode="External"/><Relationship Id="rId23" Type="http://schemas.openxmlformats.org/officeDocument/2006/relationships/footer" Target="footer7.xml"/><Relationship Id="rId28" Type="http://schemas.openxmlformats.org/officeDocument/2006/relationships/hyperlink" Target="https://kad.arbitr.ru/" TargetMode="External"/><Relationship Id="rId36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hyperlink" Target="https://e-disclosure.ru/?attempt=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-disclosure.ru/portal/company.aspx?id=202" TargetMode="External"/><Relationship Id="rId22" Type="http://schemas.openxmlformats.org/officeDocument/2006/relationships/header" Target="header7.xml"/><Relationship Id="rId27" Type="http://schemas.openxmlformats.org/officeDocument/2006/relationships/hyperlink" Target="http://www.cbr.ru/banking_sector/otchetnost-kreditnykh-organizaciy/transparent/" TargetMode="External"/><Relationship Id="rId30" Type="http://schemas.openxmlformats.org/officeDocument/2006/relationships/hyperlink" Target="https://analizbankov.ru/bank.php" TargetMode="External"/><Relationship Id="rId35" Type="http://schemas.openxmlformats.org/officeDocument/2006/relationships/hyperlink" Target="https://kad.arbitr.ru/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nalizbankov.ru/bank.php" TargetMode="External"/><Relationship Id="rId1" Type="http://schemas.openxmlformats.org/officeDocument/2006/relationships/hyperlink" Target="http://www.cbr.ru/banking_sector/otchetnost-kreditnykh-organizaciy/transpar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F040A-BAFF-43B7-A7F9-46527EEE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10749</Words>
  <Characters>61274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</Company>
  <LinksUpToDate>false</LinksUpToDate>
  <CharactersWithSpaces>71880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Чичуленков Денис Андреевич</dc:creator>
  <dc:description/>
  <cp:lastModifiedBy>Айрапетян Каринэ Петросовна</cp:lastModifiedBy>
  <cp:revision>4</cp:revision>
  <cp:lastPrinted>2024-04-22T11:09:00Z</cp:lastPrinted>
  <dcterms:created xsi:type="dcterms:W3CDTF">2024-04-22T10:53:00Z</dcterms:created>
  <dcterms:modified xsi:type="dcterms:W3CDTF">2024-04-22T11:33:00Z</dcterms:modified>
  <dc:language>ru-RU</dc:language>
</cp:coreProperties>
</file>